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spacing w:line="360" w:lineRule="auto"/>
        <w:rPr>
          <w:rFonts w:hint="eastAsia" w:eastAsia="宋体"/>
          <w:color w:val="000000"/>
          <w:sz w:val="60"/>
          <w:szCs w:val="60"/>
          <w:highlight w:val="none"/>
          <w:lang w:val="en-US" w:eastAsia="zh-CN"/>
        </w:rPr>
      </w:pPr>
      <w:r>
        <w:rPr>
          <w:rFonts w:hint="eastAsia" w:eastAsia="宋体"/>
          <w:color w:val="000000"/>
          <w:sz w:val="60"/>
          <w:szCs w:val="60"/>
          <w:highlight w:val="none"/>
          <w:lang w:val="en-US" w:eastAsia="zh-CN"/>
        </w:rPr>
      </w:r>
      <w:r/>
    </w:p>
    <w:p>
      <w:pPr>
        <w:pStyle w:val="1023"/>
        <w:jc w:val="center"/>
        <w:rPr>
          <w:b/>
          <w:bCs/>
          <w:color w:val="000000"/>
          <w:sz w:val="60"/>
          <w:szCs w:val="60"/>
          <w:highlight w:val="none"/>
        </w:rPr>
      </w:pPr>
      <w:r>
        <w:rPr>
          <w:rFonts w:hint="eastAsia"/>
          <w:b/>
          <w:bCs/>
          <w:color w:val="000000"/>
          <w:sz w:val="60"/>
          <w:szCs w:val="60"/>
          <w:highlight w:val="none"/>
        </w:rPr>
        <w:t xml:space="preserve">武 进 区 </w:t>
      </w:r>
      <w:r>
        <w:rPr>
          <w:b/>
          <w:bCs/>
          <w:color w:val="000000"/>
          <w:sz w:val="60"/>
          <w:szCs w:val="60"/>
          <w:highlight w:val="none"/>
        </w:rPr>
        <w:t xml:space="preserve">政</w:t>
      </w:r>
      <w:r>
        <w:rPr>
          <w:rFonts w:hint="eastAsia"/>
          <w:b/>
          <w:bCs/>
          <w:color w:val="000000"/>
          <w:sz w:val="60"/>
          <w:szCs w:val="60"/>
          <w:highlight w:val="none"/>
        </w:rPr>
        <w:t xml:space="preserve"> </w:t>
      </w:r>
      <w:r>
        <w:rPr>
          <w:b/>
          <w:bCs/>
          <w:color w:val="000000"/>
          <w:sz w:val="60"/>
          <w:szCs w:val="60"/>
          <w:highlight w:val="none"/>
        </w:rPr>
        <w:t xml:space="preserve">府</w:t>
      </w:r>
      <w:r>
        <w:rPr>
          <w:rFonts w:hint="eastAsia"/>
          <w:b/>
          <w:bCs/>
          <w:color w:val="000000"/>
          <w:sz w:val="60"/>
          <w:szCs w:val="60"/>
          <w:highlight w:val="none"/>
        </w:rPr>
        <w:t xml:space="preserve"> </w:t>
      </w:r>
      <w:r>
        <w:rPr>
          <w:b/>
          <w:bCs/>
          <w:color w:val="000000"/>
          <w:sz w:val="60"/>
          <w:szCs w:val="60"/>
          <w:highlight w:val="none"/>
        </w:rPr>
        <w:t xml:space="preserve">采</w:t>
      </w:r>
      <w:r>
        <w:rPr>
          <w:rFonts w:hint="eastAsia"/>
          <w:b/>
          <w:bCs/>
          <w:color w:val="000000"/>
          <w:sz w:val="60"/>
          <w:szCs w:val="60"/>
          <w:highlight w:val="none"/>
        </w:rPr>
        <w:t xml:space="preserve"> </w:t>
      </w:r>
      <w:r>
        <w:rPr>
          <w:b/>
          <w:bCs/>
          <w:color w:val="000000"/>
          <w:sz w:val="60"/>
          <w:szCs w:val="60"/>
          <w:highlight w:val="none"/>
        </w:rPr>
        <w:t xml:space="preserve">购</w:t>
      </w:r>
      <w:r>
        <w:rPr>
          <w:rFonts w:hint="eastAsia"/>
          <w:b/>
          <w:bCs/>
          <w:color w:val="000000"/>
          <w:sz w:val="60"/>
          <w:szCs w:val="60"/>
          <w:highlight w:val="none"/>
        </w:rPr>
        <w:t xml:space="preserve"> </w:t>
      </w:r>
      <w:r>
        <w:rPr>
          <w:b/>
          <w:bCs/>
          <w:color w:val="000000"/>
          <w:sz w:val="60"/>
          <w:szCs w:val="60"/>
          <w:highlight w:val="none"/>
        </w:rPr>
        <w:t xml:space="preserve">项</w:t>
      </w:r>
      <w:r>
        <w:rPr>
          <w:rFonts w:hint="eastAsia"/>
          <w:b/>
          <w:bCs/>
          <w:color w:val="000000"/>
          <w:sz w:val="60"/>
          <w:szCs w:val="60"/>
          <w:highlight w:val="none"/>
        </w:rPr>
        <w:t xml:space="preserve"> </w:t>
      </w:r>
      <w:r>
        <w:rPr>
          <w:b/>
          <w:bCs/>
          <w:color w:val="000000"/>
          <w:sz w:val="60"/>
          <w:szCs w:val="60"/>
          <w:highlight w:val="none"/>
        </w:rPr>
        <w:t xml:space="preserve">目</w:t>
      </w:r>
      <w:r>
        <w:rPr>
          <w:b/>
          <w:bCs/>
          <w:color w:val="000000"/>
          <w:sz w:val="60"/>
          <w:szCs w:val="60"/>
          <w:highlight w:val="none"/>
        </w:rPr>
      </w:r>
      <w:r/>
    </w:p>
    <w:p>
      <w:pPr>
        <w:pStyle w:val="1023"/>
        <w:jc w:val="center"/>
        <w:rPr>
          <w:b/>
          <w:bCs/>
          <w:color w:val="000000"/>
          <w:sz w:val="60"/>
          <w:szCs w:val="60"/>
          <w:highlight w:val="none"/>
        </w:rPr>
      </w:pPr>
      <w:r>
        <w:rPr>
          <w:b/>
          <w:bCs/>
          <w:color w:val="000000"/>
          <w:sz w:val="60"/>
          <w:szCs w:val="60"/>
          <w:highlight w:val="none"/>
        </w:rPr>
      </w:r>
      <w:r/>
    </w:p>
    <w:p>
      <w:pPr>
        <w:pStyle w:val="1023"/>
        <w:jc w:val="center"/>
        <w:rPr>
          <w:b/>
          <w:bCs/>
          <w:color w:val="000000"/>
          <w:sz w:val="60"/>
          <w:szCs w:val="60"/>
          <w:highlight w:val="none"/>
        </w:rPr>
      </w:pPr>
      <w:r>
        <w:rPr>
          <w:rFonts w:hint="eastAsia"/>
          <w:b/>
          <w:bCs/>
          <w:color w:val="000000"/>
          <w:sz w:val="60"/>
          <w:szCs w:val="60"/>
          <w:highlight w:val="none"/>
        </w:rPr>
        <w:t xml:space="preserve">公 开 </w:t>
      </w:r>
      <w:r>
        <w:rPr>
          <w:b/>
          <w:bCs/>
          <w:color w:val="000000"/>
          <w:sz w:val="60"/>
          <w:szCs w:val="60"/>
          <w:highlight w:val="none"/>
        </w:rPr>
        <w:t xml:space="preserve">招</w:t>
      </w:r>
      <w:r>
        <w:rPr>
          <w:rFonts w:hint="eastAsia"/>
          <w:b/>
          <w:bCs/>
          <w:color w:val="000000"/>
          <w:sz w:val="60"/>
          <w:szCs w:val="60"/>
          <w:highlight w:val="none"/>
        </w:rPr>
        <w:t xml:space="preserve"> </w:t>
      </w:r>
      <w:r>
        <w:rPr>
          <w:b/>
          <w:bCs/>
          <w:color w:val="000000"/>
          <w:sz w:val="60"/>
          <w:szCs w:val="60"/>
          <w:highlight w:val="none"/>
        </w:rPr>
        <w:t xml:space="preserve">标</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rPr>
          <w:b/>
          <w:bCs/>
          <w:color w:val="000000"/>
          <w:sz w:val="60"/>
          <w:szCs w:val="60"/>
          <w:highlight w:val="none"/>
        </w:rPr>
      </w:r>
      <w:r/>
    </w:p>
    <w:p>
      <w:pPr>
        <w:pStyle w:val="1023"/>
        <w:jc w:val="center"/>
        <w:rPr>
          <w:b/>
          <w:bCs/>
          <w:color w:val="000000"/>
          <w:sz w:val="60"/>
          <w:szCs w:val="60"/>
          <w:highlight w:val="none"/>
        </w:rPr>
      </w:pPr>
      <w:r>
        <w:rPr>
          <w:b/>
          <w:bCs/>
          <w:color w:val="000000"/>
          <w:sz w:val="60"/>
          <w:szCs w:val="60"/>
          <w:highlight w:val="none"/>
        </w:rPr>
      </w:r>
      <w:r/>
    </w:p>
    <w:p>
      <w:pPr>
        <w:pStyle w:val="1023"/>
        <w:jc w:val="center"/>
        <w:rPr>
          <w:b/>
          <w:bCs/>
          <w:color w:val="000000"/>
          <w:sz w:val="60"/>
          <w:szCs w:val="60"/>
          <w:highlight w:val="none"/>
        </w:rPr>
      </w:pPr>
      <w:r>
        <w:rPr>
          <w:b/>
          <w:bCs/>
          <w:color w:val="000000"/>
          <w:sz w:val="60"/>
          <w:szCs w:val="60"/>
          <w:highlight w:val="none"/>
        </w:rPr>
      </w:r>
      <w:r/>
    </w:p>
    <w:p>
      <w:pPr>
        <w:pStyle w:val="1023"/>
        <w:jc w:val="center"/>
        <w:rPr>
          <w:b/>
          <w:bCs/>
          <w:color w:val="000000"/>
          <w:sz w:val="60"/>
          <w:szCs w:val="60"/>
          <w:highlight w:val="none"/>
        </w:rPr>
      </w:pPr>
      <w:r>
        <w:rPr>
          <w:b/>
          <w:bCs/>
          <w:color w:val="000000"/>
          <w:sz w:val="60"/>
          <w:szCs w:val="60"/>
          <w:highlight w:val="none"/>
        </w:rPr>
      </w:r>
      <w:r/>
    </w:p>
    <w:p>
      <w:pPr>
        <w:pStyle w:val="1103"/>
        <w:rPr>
          <w:color w:val="000000"/>
          <w:highlight w:val="none"/>
        </w:rPr>
      </w:pPr>
      <w:r>
        <w:rPr>
          <w:color w:val="000000"/>
          <w:highlight w:val="none"/>
        </w:rPr>
      </w:r>
      <w:r/>
    </w:p>
    <w:p>
      <w:pPr>
        <w:pStyle w:val="1023"/>
        <w:jc w:val="center"/>
        <w:spacing w:line="360" w:lineRule="auto"/>
        <w:rPr>
          <w:color w:val="000000"/>
          <w:sz w:val="60"/>
          <w:szCs w:val="60"/>
          <w:highlight w:val="none"/>
        </w:rPr>
      </w:pPr>
      <w:r>
        <w:rPr>
          <w:color w:val="000000"/>
          <w:sz w:val="60"/>
          <w:szCs w:val="60"/>
          <w:highlight w:val="none"/>
        </w:rPr>
      </w:r>
      <w:r/>
    </w:p>
    <w:p>
      <w:pPr>
        <w:pStyle w:val="1023"/>
        <w:ind w:left="2640" w:hanging="18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项目名称：</w:t>
      </w:r>
      <w:r>
        <w:rPr>
          <w:rFonts w:hint="eastAsia"/>
          <w:bCs/>
          <w:color w:val="000000"/>
          <w:sz w:val="36"/>
          <w:szCs w:val="36"/>
          <w:highlight w:val="none"/>
          <w:lang w:eastAsia="zh-CN"/>
        </w:rPr>
        <w:t xml:space="preserve">2026-2028年度武进国家高新区市政维护项目</w:t>
      </w:r>
      <w:r>
        <w:rPr>
          <w:rFonts w:hint="eastAsia" w:eastAsia="宋体"/>
          <w:bCs/>
          <w:color w:val="000000"/>
          <w:sz w:val="36"/>
          <w:szCs w:val="36"/>
          <w:highlight w:val="none"/>
          <w:lang w:eastAsia="zh-CN"/>
        </w:rPr>
      </w:r>
      <w:r/>
    </w:p>
    <w:p>
      <w:pPr>
        <w:pStyle w:val="1023"/>
        <w:ind w:left="2640" w:hanging="18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项目编号：</w:t>
      </w:r>
      <w:r>
        <w:rPr>
          <w:rFonts w:hint="eastAsia" w:ascii="Times New Roman" w:hAnsi="Times New Roman" w:eastAsia="宋体" w:cs="Times New Roman"/>
          <w:bCs/>
          <w:color w:val="000000"/>
          <w:sz w:val="36"/>
          <w:szCs w:val="36"/>
          <w:highlight w:val="none"/>
          <w:lang w:eastAsia="zh-CN"/>
        </w:rPr>
        <w:t xml:space="preserve">JSZC-320412-HYYZ-G2026-0001</w:t>
      </w:r>
      <w:r>
        <w:rPr>
          <w:rFonts w:hint="eastAsia" w:eastAsia="宋体"/>
          <w:bCs/>
          <w:color w:val="000000"/>
          <w:sz w:val="36"/>
          <w:szCs w:val="36"/>
          <w:highlight w:val="none"/>
          <w:lang w:eastAsia="zh-CN"/>
        </w:rPr>
      </w:r>
      <w:r/>
    </w:p>
    <w:p>
      <w:pPr>
        <w:pStyle w:val="1023"/>
        <w:ind w:left="2640" w:hanging="1800"/>
        <w:jc w:val="left"/>
        <w:spacing w:line="360" w:lineRule="auto"/>
        <w:tabs>
          <w:tab w:val="left" w:pos="3240" w:leader="none"/>
          <w:tab w:val="left" w:pos="3420" w:leader="none"/>
        </w:tabs>
        <w:rPr>
          <w:rFonts w:hint="eastAsia" w:eastAsia="宋体"/>
          <w:bCs/>
          <w:color w:val="000000"/>
          <w:sz w:val="36"/>
          <w:szCs w:val="36"/>
          <w:highlight w:val="none"/>
          <w:lang w:eastAsia="zh-CN"/>
        </w:rPr>
      </w:pPr>
      <w:r>
        <w:rPr>
          <w:bCs/>
          <w:color w:val="000000"/>
          <w:sz w:val="36"/>
          <w:szCs w:val="36"/>
          <w:highlight w:val="none"/>
        </w:rPr>
        <w:t xml:space="preserve">采 购 人：</w:t>
      </w:r>
      <w:r>
        <w:rPr>
          <w:rFonts w:hint="eastAsia"/>
          <w:bCs/>
          <w:color w:val="000000"/>
          <w:sz w:val="36"/>
          <w:szCs w:val="36"/>
          <w:highlight w:val="none"/>
          <w:lang w:eastAsia="zh-CN"/>
        </w:rPr>
        <w:t xml:space="preserve">武进高新技术产业开发区创新发展中心</w:t>
      </w:r>
      <w:r>
        <w:rPr>
          <w:rFonts w:hint="eastAsia" w:eastAsia="宋体"/>
          <w:bCs/>
          <w:color w:val="000000"/>
          <w:sz w:val="36"/>
          <w:szCs w:val="36"/>
          <w:highlight w:val="none"/>
          <w:lang w:eastAsia="zh-CN"/>
        </w:rPr>
      </w:r>
      <w:r/>
    </w:p>
    <w:p>
      <w:pPr>
        <w:pStyle w:val="1023"/>
        <w:ind w:left="2640" w:hanging="1800"/>
        <w:jc w:val="left"/>
        <w:spacing w:line="360" w:lineRule="auto"/>
        <w:tabs>
          <w:tab w:val="left" w:pos="3240" w:leader="none"/>
          <w:tab w:val="left" w:pos="3420" w:leader="none"/>
        </w:tabs>
        <w:rPr>
          <w:rFonts w:hint="eastAsia"/>
          <w:bCs/>
          <w:color w:val="000000"/>
          <w:sz w:val="36"/>
          <w:szCs w:val="36"/>
          <w:highlight w:val="none"/>
          <w:lang w:eastAsia="zh-CN"/>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bCs/>
          <w:color w:val="000000"/>
          <w:sz w:val="36"/>
          <w:szCs w:val="36"/>
          <w:highlight w:val="none"/>
          <w:lang w:eastAsia="zh-CN"/>
        </w:rPr>
        <w:t xml:space="preserve">常州环宇工程项目管理有限公司</w:t>
      </w:r>
      <w:r>
        <w:rPr>
          <w:rFonts w:hint="eastAsia"/>
          <w:bCs/>
          <w:color w:val="000000"/>
          <w:sz w:val="36"/>
          <w:szCs w:val="36"/>
          <w:highlight w:val="none"/>
          <w:lang w:eastAsia="zh-CN"/>
        </w:rPr>
      </w:r>
      <w:r/>
    </w:p>
    <w:p>
      <w:pPr>
        <w:pStyle w:val="1090"/>
        <w:tabs>
          <w:tab w:val="left" w:pos="567" w:leader="none"/>
        </w:tabs>
        <w:rPr>
          <w:rFonts w:hint="eastAsia"/>
          <w:bCs/>
          <w:color w:val="000000"/>
          <w:sz w:val="36"/>
          <w:szCs w:val="36"/>
          <w:highlight w:val="none"/>
          <w:lang w:eastAsia="zh-CN"/>
        </w:rPr>
      </w:pPr>
      <w:r>
        <w:rPr>
          <w:rFonts w:hint="eastAsia"/>
          <w:bCs/>
          <w:color w:val="000000"/>
          <w:sz w:val="36"/>
          <w:szCs w:val="36"/>
          <w:highlight w:val="none"/>
          <w:lang w:eastAsia="zh-CN"/>
        </w:rPr>
      </w:r>
      <w:r/>
    </w:p>
    <w:p>
      <w:pPr>
        <w:pStyle w:val="1023"/>
        <w:ind w:left="2640" w:hanging="1800"/>
        <w:jc w:val="center"/>
        <w:spacing w:line="360" w:lineRule="auto"/>
        <w:tabs>
          <w:tab w:val="left" w:pos="3240" w:leader="none"/>
          <w:tab w:val="left" w:pos="3420" w:leader="none"/>
        </w:tabs>
        <w:rPr>
          <w:rFonts w:ascii="Times New Roman" w:hAnsi="Times New Roman" w:eastAsia="宋体" w:cs="Times New Roman"/>
          <w:bCs/>
          <w:color w:val="000000"/>
          <w:sz w:val="36"/>
          <w:szCs w:val="36"/>
          <w:highlight w:val="none"/>
          <w:lang w:val="en-US" w:eastAsia="zh-CN"/>
        </w:rPr>
      </w:pPr>
      <w:r>
        <w:rPr>
          <w:rFonts w:hint="eastAsia" w:ascii="Times New Roman" w:hAnsi="Times New Roman" w:eastAsia="宋体" w:cs="Times New Roman"/>
          <w:bCs/>
          <w:color w:val="000000"/>
          <w:sz w:val="36"/>
          <w:szCs w:val="36"/>
          <w:highlight w:val="none"/>
          <w:lang w:val="en-US" w:eastAsia="zh-CN"/>
        </w:rPr>
        <w:t xml:space="preserve">2026年1月</w:t>
      </w:r>
      <w:r>
        <w:rPr>
          <w:rFonts w:ascii="Times New Roman" w:hAnsi="Times New Roman" w:eastAsia="宋体" w:cs="Times New Roman"/>
          <w:bCs/>
          <w:color w:val="000000"/>
          <w:sz w:val="36"/>
          <w:szCs w:val="36"/>
          <w:highlight w:val="none"/>
          <w:lang w:val="en-US" w:eastAsia="zh-CN"/>
        </w:rPr>
      </w:r>
      <w:r/>
    </w:p>
    <w:p>
      <w:pPr>
        <w:pStyle w:val="1023"/>
        <w:jc w:val="center"/>
        <w:spacing w:line="360" w:lineRule="auto"/>
        <w:rPr>
          <w:rFonts w:hint="eastAsia"/>
          <w:b/>
          <w:color w:val="000000"/>
          <w:sz w:val="36"/>
          <w:szCs w:val="36"/>
          <w:highlight w:val="none"/>
        </w:rPr>
        <w:outlineLvl w:val="0"/>
      </w:pPr>
      <w:r>
        <w:rPr>
          <w:b/>
          <w:bCs/>
          <w:color w:val="000000"/>
          <w:sz w:val="44"/>
          <w:highlight w:val="none"/>
        </w:rPr>
        <w:br w:type="page" w:clear="all"/>
      </w:r>
      <w:bookmarkStart w:id="0" w:name="_Toc99301418"/>
      <w:r>
        <w:rPr>
          <w:b/>
          <w:color w:val="000000"/>
          <w:sz w:val="36"/>
          <w:szCs w:val="36"/>
          <w:highlight w:val="none"/>
        </w:rPr>
        <w:t xml:space="preserve">目      录</w:t>
      </w:r>
      <w:bookmarkEnd w:id="0"/>
      <w:r>
        <w:rPr>
          <w:rFonts w:hint="eastAsia"/>
          <w:b/>
          <w:color w:val="000000"/>
          <w:sz w:val="36"/>
          <w:szCs w:val="36"/>
          <w:highlight w:val="none"/>
        </w:rPr>
      </w:r>
      <w:r/>
    </w:p>
    <w:p>
      <w:pPr>
        <w:pStyle w:val="1075"/>
        <w:spacing w:line="360" w:lineRule="auto"/>
        <w:tabs>
          <w:tab w:val="left" w:pos="1050" w:leader="none"/>
          <w:tab w:val="right" w:pos="8937" w:leader="dot"/>
        </w:tabs>
        <w:rPr>
          <w:rFonts w:ascii="Calibri" w:hAnsi="Calibri"/>
          <w:b w:val="0"/>
          <w:color w:val="000000"/>
          <w:sz w:val="21"/>
          <w:szCs w:val="22"/>
          <w:highlight w:val="none"/>
        </w:rPr>
      </w:pPr>
      <w:r>
        <w:rPr>
          <w:rFonts w:ascii="Calibri" w:hAnsi="Calibri"/>
          <w:b w:val="0"/>
          <w:color w:val="000000"/>
          <w:sz w:val="21"/>
          <w:szCs w:val="22"/>
          <w:highlight w:val="none"/>
        </w:rPr>
      </w:r>
      <w:r/>
    </w:p>
    <w:p>
      <w:pPr>
        <w:pStyle w:val="1075"/>
        <w:numPr>
          <w:ilvl w:val="0"/>
          <w:numId w:val="8"/>
        </w:numPr>
        <w:spacing w:line="240" w:lineRule="auto"/>
        <w:tabs>
          <w:tab w:val="left" w:pos="1050" w:leader="none"/>
          <w:tab w:val="right" w:pos="8937" w:leader="dot"/>
        </w:tabs>
        <w:rPr>
          <w:rFonts w:ascii="Times New Roman" w:hAnsi="Times New Roman"/>
          <w:bCs/>
          <w:color w:val="000000"/>
          <w:sz w:val="30"/>
          <w:szCs w:val="30"/>
          <w:highlight w:val="none"/>
        </w:rPr>
      </w:pPr>
      <w:r>
        <w:rPr>
          <w:rFonts w:hint="eastAsia" w:ascii="Times New Roman" w:hAnsi="Times New Roman"/>
          <w:bCs/>
          <w:color w:val="000000"/>
          <w:sz w:val="30"/>
          <w:szCs w:val="30"/>
          <w:highlight w:val="none"/>
        </w:rPr>
        <w:t xml:space="preserve"> 投标邀请</w:t>
      </w:r>
      <w:r>
        <w:rPr>
          <w:rFonts w:ascii="Times New Roman" w:hAnsi="Times New Roman"/>
          <w:bCs/>
          <w:color w:val="000000"/>
          <w:sz w:val="30"/>
          <w:szCs w:val="30"/>
          <w:highlight w:val="none"/>
        </w:rPr>
      </w:r>
      <w:r/>
    </w:p>
    <w:p>
      <w:pPr>
        <w:pStyle w:val="1023"/>
        <w:rPr>
          <w:rFonts w:hint="eastAsia"/>
          <w:color w:val="000000"/>
          <w:highlight w:val="none"/>
        </w:rPr>
      </w:pPr>
      <w:r>
        <w:rPr>
          <w:rFonts w:hint="eastAsia"/>
          <w:color w:val="000000"/>
          <w:highlight w:val="none"/>
        </w:rPr>
      </w:r>
      <w:r/>
    </w:p>
    <w:p>
      <w:pPr>
        <w:pStyle w:val="1023"/>
        <w:numPr>
          <w:ilvl w:val="0"/>
          <w:numId w:val="8"/>
        </w:numPr>
        <w:rPr>
          <w:b/>
          <w:bCs/>
          <w:color w:val="000000"/>
          <w:sz w:val="30"/>
          <w:szCs w:val="30"/>
          <w:highlight w:val="none"/>
        </w:rPr>
      </w:pPr>
      <w:r>
        <w:rPr>
          <w:rFonts w:hint="eastAsia"/>
          <w:b/>
          <w:bCs/>
          <w:color w:val="000000"/>
          <w:sz w:val="30"/>
          <w:szCs w:val="30"/>
          <w:highlight w:val="none"/>
        </w:rPr>
        <w:t xml:space="preserve"> 投标人须知</w:t>
      </w:r>
      <w:r>
        <w:rPr>
          <w:b/>
          <w:bCs/>
          <w:color w:val="000000"/>
          <w:sz w:val="30"/>
          <w:szCs w:val="30"/>
          <w:highlight w:val="none"/>
        </w:rPr>
      </w:r>
      <w:r/>
    </w:p>
    <w:p>
      <w:pPr>
        <w:pStyle w:val="1103"/>
        <w:rPr>
          <w:color w:val="000000"/>
          <w:highlight w:val="none"/>
        </w:rPr>
      </w:pPr>
      <w:r>
        <w:rPr>
          <w:color w:val="000000"/>
          <w:highlight w:val="none"/>
        </w:rPr>
      </w:r>
      <w:r/>
    </w:p>
    <w:p>
      <w:pPr>
        <w:pStyle w:val="110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第三章  资格审查</w:t>
      </w:r>
      <w:r>
        <w:rPr>
          <w:rFonts w:ascii="Times New Roman" w:hAnsi="Times New Roman" w:cs="Times New Roman"/>
          <w:b/>
          <w:bCs/>
          <w:color w:val="000000"/>
          <w:sz w:val="30"/>
          <w:szCs w:val="30"/>
          <w:highlight w:val="none"/>
        </w:rPr>
      </w:r>
      <w:r/>
    </w:p>
    <w:p>
      <w:pPr>
        <w:pStyle w:val="110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10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第四章  评标程序、评标方法和评标标准</w:t>
      </w:r>
      <w:r>
        <w:rPr>
          <w:rFonts w:ascii="Times New Roman" w:hAnsi="Times New Roman" w:cs="Times New Roman"/>
          <w:b/>
          <w:bCs/>
          <w:color w:val="000000"/>
          <w:sz w:val="30"/>
          <w:szCs w:val="30"/>
          <w:highlight w:val="none"/>
        </w:rPr>
      </w:r>
      <w:r/>
    </w:p>
    <w:p>
      <w:pPr>
        <w:pStyle w:val="110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10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第五章  采购需求</w:t>
      </w:r>
      <w:r>
        <w:rPr>
          <w:rFonts w:ascii="Times New Roman" w:hAnsi="Times New Roman" w:cs="Times New Roman"/>
          <w:b/>
          <w:bCs/>
          <w:color w:val="000000"/>
          <w:sz w:val="30"/>
          <w:szCs w:val="30"/>
          <w:highlight w:val="none"/>
        </w:rPr>
      </w:r>
      <w:r/>
    </w:p>
    <w:p>
      <w:pPr>
        <w:pStyle w:val="110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10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第六章  拟签订的合同文本</w:t>
      </w:r>
      <w:r>
        <w:rPr>
          <w:rFonts w:ascii="Times New Roman" w:hAnsi="Times New Roman" w:cs="Times New Roman"/>
          <w:b/>
          <w:bCs/>
          <w:color w:val="000000"/>
          <w:sz w:val="30"/>
          <w:szCs w:val="30"/>
          <w:highlight w:val="none"/>
        </w:rPr>
      </w:r>
      <w:r/>
    </w:p>
    <w:p>
      <w:pPr>
        <w:pStyle w:val="1103"/>
        <w:rPr>
          <w:rFonts w:hint="eastAsia"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r>
      <w:r/>
    </w:p>
    <w:p>
      <w:pPr>
        <w:pStyle w:val="1023"/>
        <w:widowControl/>
        <w:rPr>
          <w:b/>
          <w:bCs/>
          <w:color w:val="000000"/>
          <w:sz w:val="30"/>
          <w:szCs w:val="30"/>
          <w:highlight w:val="none"/>
        </w:rPr>
      </w:pPr>
      <w:r>
        <w:rPr>
          <w:rFonts w:hint="eastAsia"/>
          <w:b/>
          <w:bCs/>
          <w:color w:val="000000"/>
          <w:sz w:val="30"/>
          <w:szCs w:val="30"/>
          <w:highlight w:val="none"/>
        </w:rPr>
        <w:t xml:space="preserve">第七章  投标文件的组成及提交须知</w:t>
      </w:r>
      <w:r>
        <w:rPr>
          <w:b/>
          <w:bCs/>
          <w:color w:val="000000"/>
          <w:sz w:val="30"/>
          <w:szCs w:val="30"/>
          <w:highlight w:val="none"/>
        </w:rPr>
      </w:r>
      <w:r/>
    </w:p>
    <w:p>
      <w:pPr>
        <w:pStyle w:val="1103"/>
        <w:rPr>
          <w:color w:val="000000"/>
          <w:highlight w:val="none"/>
        </w:rPr>
      </w:pPr>
      <w:r>
        <w:rPr>
          <w:color w:val="000000"/>
          <w:highlight w:val="none"/>
        </w:rPr>
      </w:r>
      <w:r/>
    </w:p>
    <w:p>
      <w:pPr>
        <w:pStyle w:val="1103"/>
        <w:rPr>
          <w:rFonts w:ascii="Times New Roman" w:hAnsi="Times New Roman" w:cs="Times New Roman"/>
          <w:b/>
          <w:bCs/>
          <w:color w:val="000000"/>
          <w:sz w:val="30"/>
          <w:szCs w:val="30"/>
          <w:highlight w:val="none"/>
        </w:rPr>
      </w:pPr>
      <w:r>
        <w:rPr>
          <w:rFonts w:hint="eastAsia" w:ascii="Times New Roman" w:hAnsi="Times New Roman" w:cs="Times New Roman"/>
          <w:b/>
          <w:bCs/>
          <w:color w:val="000000"/>
          <w:sz w:val="30"/>
          <w:szCs w:val="30"/>
          <w:highlight w:val="none"/>
        </w:rPr>
        <w:t xml:space="preserve">第八章  投标文件格式</w:t>
      </w:r>
      <w:r>
        <w:rPr>
          <w:rFonts w:ascii="Times New Roman" w:hAnsi="Times New Roman" w:cs="Times New Roman"/>
          <w:b/>
          <w:bCs/>
          <w:color w:val="000000"/>
          <w:sz w:val="30"/>
          <w:szCs w:val="30"/>
          <w:highlight w:val="none"/>
        </w:rPr>
      </w:r>
      <w:r/>
    </w:p>
    <w:p>
      <w:pPr>
        <w:pStyle w:val="1103"/>
        <w:spacing w:line="360" w:lineRule="auto"/>
        <w:rPr>
          <w:color w:val="000000"/>
          <w:highlight w:val="none"/>
        </w:rPr>
      </w:pPr>
      <w:r>
        <w:rPr>
          <w:color w:val="000000"/>
          <w:highlight w:val="none"/>
        </w:rPr>
      </w:r>
      <w:r/>
    </w:p>
    <w:p>
      <w:pPr>
        <w:pStyle w:val="1023"/>
        <w:jc w:val="center"/>
        <w:spacing w:line="360" w:lineRule="auto"/>
        <w:rPr>
          <w:b/>
          <w:color w:val="000000"/>
          <w:sz w:val="36"/>
          <w:szCs w:val="36"/>
          <w:highlight w:val="none"/>
        </w:rPr>
        <w:outlineLvl w:val="0"/>
      </w:pPr>
      <w:r>
        <w:rPr>
          <w:color w:val="000000"/>
          <w:sz w:val="24"/>
          <w:highlight w:val="none"/>
        </w:rPr>
        <w:br w:type="page" w:clear="all"/>
      </w:r>
      <w:bookmarkStart w:id="1" w:name="_Toc99301419"/>
      <w:r>
        <w:rPr>
          <w:b/>
          <w:color w:val="000000"/>
          <w:sz w:val="36"/>
          <w:szCs w:val="36"/>
          <w:highlight w:val="none"/>
        </w:rPr>
        <w:t xml:space="preserve">第一章   投标邀请</w:t>
      </w:r>
      <w:bookmarkEnd w:id="1"/>
      <w:r>
        <w:rPr>
          <w:b/>
          <w:color w:val="000000"/>
          <w:sz w:val="36"/>
          <w:szCs w:val="36"/>
          <w:highlight w:val="none"/>
        </w:rPr>
      </w:r>
      <w:r/>
    </w:p>
    <w:p>
      <w:pPr>
        <w:pStyle w:val="1023"/>
        <w:ind w:firstLine="480"/>
        <w:spacing w:line="360" w:lineRule="auto"/>
        <w:rPr>
          <w:color w:val="000000"/>
          <w:sz w:val="24"/>
          <w:highlight w:val="none"/>
        </w:rPr>
      </w:pPr>
      <w:r/>
      <w:bookmarkStart w:id="2" w:name="_Toc28359002"/>
      <w:r/>
      <w:bookmarkStart w:id="3" w:name="_Toc35393621"/>
      <w:r/>
      <w:bookmarkStart w:id="4" w:name="_Toc28359079"/>
      <w:r/>
      <w:bookmarkStart w:id="5" w:name="_Toc35393790"/>
      <w:r/>
      <w:bookmarkStart w:id="6" w:name="_Hlk24379207"/>
      <w:r/>
      <w:bookmarkStart w:id="7" w:name="_Hlk151728086"/>
      <w:r>
        <w:rPr>
          <w:rFonts w:hint="eastAsia"/>
          <w:color w:val="000000"/>
          <w:sz w:val="24"/>
          <w:highlight w:val="none"/>
        </w:rPr>
        <w:t xml:space="preserve">受</w:t>
      </w:r>
      <w:r>
        <w:rPr>
          <w:rFonts w:hint="eastAsia"/>
          <w:color w:val="000000"/>
          <w:sz w:val="24"/>
          <w:highlight w:val="none"/>
          <w:lang w:eastAsia="zh-CN"/>
        </w:rPr>
        <w:t xml:space="preserve">武进高新技术产业开发区创新发展中心</w:t>
      </w:r>
      <w:r>
        <w:rPr>
          <w:rFonts w:hint="eastAsia"/>
          <w:color w:val="000000"/>
          <w:sz w:val="24"/>
          <w:highlight w:val="none"/>
        </w:rPr>
        <w:t xml:space="preserve">的委托，</w:t>
      </w:r>
      <w:r>
        <w:rPr>
          <w:rFonts w:hint="eastAsia"/>
          <w:color w:val="000000"/>
          <w:sz w:val="24"/>
          <w:highlight w:val="none"/>
          <w:lang w:eastAsia="zh-CN"/>
        </w:rPr>
        <w:t xml:space="preserve">常州环宇工程项目管理有限公司</w:t>
      </w:r>
      <w:r>
        <w:rPr>
          <w:rFonts w:hint="eastAsia"/>
          <w:color w:val="000000"/>
          <w:sz w:val="24"/>
          <w:highlight w:val="none"/>
        </w:rPr>
        <w:t xml:space="preserve">就</w:t>
      </w:r>
      <w:r>
        <w:rPr>
          <w:rFonts w:hint="eastAsia"/>
          <w:color w:val="000000"/>
          <w:sz w:val="24"/>
          <w:highlight w:val="none"/>
          <w:lang w:eastAsia="zh-CN"/>
        </w:rPr>
        <w:t xml:space="preserve">2026-2028年度武进国家高新区市政维护项目</w:t>
      </w:r>
      <w:r>
        <w:rPr>
          <w:rFonts w:hint="eastAsia"/>
          <w:color w:val="000000"/>
          <w:sz w:val="24"/>
          <w:highlight w:val="none"/>
        </w:rPr>
        <w:t xml:space="preserve">进行公开招标采购，各潜在投标人可在“苏采云”平台自行免费下载招标文件，并于</w:t>
      </w:r>
      <w:r>
        <w:rPr>
          <w:rFonts w:hint="eastAsia"/>
          <w:b/>
          <w:bCs/>
          <w:color w:val="000000"/>
          <w:sz w:val="24"/>
          <w:highlight w:val="none"/>
          <w:u w:val="single"/>
          <w:lang w:eastAsia="zh-CN"/>
        </w:rPr>
        <w:t xml:space="preserve">202</w:t>
      </w:r>
      <w:r>
        <w:rPr>
          <w:rFonts w:hint="eastAsia"/>
          <w:b/>
          <w:bCs/>
          <w:color w:val="000000"/>
          <w:sz w:val="24"/>
          <w:highlight w:val="none"/>
          <w:u w:val="single"/>
          <w:lang w:val="en-US" w:eastAsia="zh-CN"/>
        </w:rPr>
        <w:t xml:space="preserve">6</w:t>
      </w:r>
      <w:r>
        <w:rPr>
          <w:rFonts w:hint="eastAsia"/>
          <w:b/>
          <w:bCs/>
          <w:color w:val="000000"/>
          <w:sz w:val="24"/>
          <w:highlight w:val="none"/>
          <w:u w:val="single"/>
          <w:lang w:eastAsia="zh-CN"/>
        </w:rPr>
        <w:t xml:space="preserve">年</w:t>
      </w:r>
      <w:r>
        <w:rPr>
          <w:rFonts w:hint="eastAsia"/>
          <w:b/>
          <w:bCs/>
          <w:color w:val="000000"/>
          <w:sz w:val="24"/>
          <w:highlight w:val="none"/>
          <w:u w:val="single"/>
          <w:lang w:val="en-US" w:eastAsia="zh-CN"/>
        </w:rPr>
        <w:t xml:space="preserve">1</w:t>
      </w:r>
      <w:r>
        <w:rPr>
          <w:rFonts w:hint="eastAsia"/>
          <w:b/>
          <w:bCs/>
          <w:color w:val="000000"/>
          <w:sz w:val="24"/>
          <w:highlight w:val="none"/>
          <w:u w:val="single"/>
        </w:rPr>
        <w:t xml:space="preserve">月</w:t>
      </w:r>
      <w:r>
        <w:rPr>
          <w:rFonts w:hint="eastAsia"/>
          <w:b/>
          <w:bCs/>
          <w:color w:val="000000"/>
          <w:sz w:val="24"/>
          <w:highlight w:val="none"/>
          <w:u w:val="single"/>
          <w:lang w:val="en-US" w:eastAsia="zh-CN"/>
        </w:rPr>
        <w:t xml:space="preserve">27</w:t>
      </w:r>
      <w:r>
        <w:rPr>
          <w:rFonts w:hint="eastAsia"/>
          <w:b/>
          <w:bCs/>
          <w:color w:val="000000"/>
          <w:sz w:val="24"/>
          <w:highlight w:val="none"/>
          <w:u w:val="single"/>
        </w:rPr>
        <w:t xml:space="preserve">日</w:t>
      </w:r>
      <w:r>
        <w:rPr>
          <w:b/>
          <w:bCs/>
          <w:color w:val="000000"/>
          <w:sz w:val="24"/>
          <w:highlight w:val="none"/>
          <w:u w:val="single"/>
        </w:rPr>
        <w:t xml:space="preserve">9</w:t>
      </w:r>
      <w:r>
        <w:rPr>
          <w:rFonts w:hint="eastAsia"/>
          <w:b/>
          <w:bCs/>
          <w:color w:val="000000"/>
          <w:sz w:val="24"/>
          <w:highlight w:val="none"/>
          <w:u w:val="single"/>
        </w:rPr>
        <w:t xml:space="preserve">:</w:t>
      </w:r>
      <w:r>
        <w:rPr>
          <w:b/>
          <w:bCs/>
          <w:color w:val="000000"/>
          <w:sz w:val="24"/>
          <w:highlight w:val="none"/>
          <w:u w:val="single"/>
        </w:rPr>
        <w:t xml:space="preserve">00</w:t>
      </w:r>
      <w:r>
        <w:rPr>
          <w:rFonts w:hint="eastAsia"/>
          <w:b/>
          <w:bCs/>
          <w:color w:val="000000"/>
          <w:sz w:val="24"/>
          <w:highlight w:val="none"/>
          <w:u w:val="single"/>
        </w:rPr>
        <w:t xml:space="preserve">（北京时间）</w:t>
      </w:r>
      <w:r>
        <w:rPr>
          <w:rFonts w:hint="eastAsia" w:ascii="Times New Roman" w:hAnsi="Times New Roman" w:eastAsia="宋体" w:cs="Times New Roman"/>
          <w:color w:val="000000"/>
          <w:sz w:val="24"/>
          <w:highlight w:val="none"/>
        </w:rPr>
        <w:t xml:space="preserve">前递交</w:t>
      </w:r>
      <w:r>
        <w:rPr>
          <w:rFonts w:hint="eastAsia"/>
          <w:color w:val="000000"/>
          <w:sz w:val="24"/>
          <w:highlight w:val="none"/>
        </w:rPr>
        <w:t xml:space="preserve">投标</w:t>
      </w:r>
      <w:r>
        <w:rPr>
          <w:color w:val="000000"/>
          <w:sz w:val="24"/>
          <w:highlight w:val="none"/>
        </w:rPr>
        <w:t xml:space="preserve">文件</w:t>
      </w:r>
      <w:r>
        <w:rPr>
          <w:rFonts w:hint="eastAsia"/>
          <w:color w:val="000000"/>
          <w:sz w:val="24"/>
          <w:highlight w:val="none"/>
        </w:rPr>
        <w:t xml:space="preserve">。</w:t>
      </w:r>
      <w:r>
        <w:rPr>
          <w:color w:val="000000"/>
          <w:sz w:val="24"/>
          <w:highlight w:val="none"/>
        </w:rPr>
      </w:r>
      <w:r/>
    </w:p>
    <w:p>
      <w:pPr>
        <w:pStyle w:val="1025"/>
        <w:ind w:firstLine="482"/>
        <w:jc w:val="left"/>
        <w:spacing w:before="0" w:line="360" w:lineRule="auto"/>
        <w:tabs>
          <w:tab w:val="right" w:pos="8937" w:leader="dot"/>
        </w:tabs>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2"/>
      <w:r/>
      <w:bookmarkEnd w:id="3"/>
      <w:r/>
      <w:bookmarkEnd w:id="4"/>
      <w:r/>
      <w:bookmarkEnd w:id="5"/>
      <w:r>
        <w:rPr>
          <w:rFonts w:ascii="Times New Roman" w:hAnsi="Times New Roman" w:eastAsia="宋体"/>
          <w:color w:val="000000"/>
          <w:sz w:val="24"/>
          <w:szCs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1.项目编号：</w:t>
      </w:r>
      <w:r>
        <w:rPr>
          <w:rFonts w:hint="eastAsia" w:ascii="Times New Roman" w:hAnsi="Times New Roman" w:eastAsia="宋体" w:cs="Times New Roman"/>
          <w:color w:val="000000"/>
          <w:sz w:val="24"/>
          <w:highlight w:val="none"/>
          <w:lang w:eastAsia="zh-CN"/>
        </w:rPr>
        <w:t xml:space="preserve">JSZC-320412-HYYZ-G2026-0001</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2.项目名称：</w:t>
      </w:r>
      <w:bookmarkEnd w:id="6"/>
      <w:r>
        <w:rPr>
          <w:rFonts w:hint="eastAsia" w:ascii="Times New Roman" w:hAnsi="Times New Roman" w:eastAsia="宋体" w:cs="Times New Roman"/>
          <w:color w:val="000000"/>
          <w:sz w:val="24"/>
          <w:highlight w:val="none"/>
          <w:lang w:eastAsia="zh-CN"/>
        </w:rPr>
        <w:t xml:space="preserve">2026-2028年度武进国家高新区市政维护项目</w:t>
      </w:r>
      <w:r>
        <w:rPr>
          <w:rFonts w:hint="eastAsia" w:ascii="Times New Roman" w:hAnsi="Times New Roman" w:eastAsia="宋体" w:cs="Times New Roman"/>
          <w:color w:val="000000"/>
          <w:sz w:val="24"/>
          <w:highlight w:val="none"/>
          <w:lang w:eastAsia="zh-CN"/>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w:t>
      </w:r>
      <w:r>
        <w:rPr>
          <w:rFonts w:hint="eastAsia" w:ascii="Times New Roman" w:hAnsi="Times New Roman" w:eastAsia="宋体" w:cs="Times New Roman"/>
          <w:color w:val="000000"/>
          <w:sz w:val="24"/>
          <w:highlight w:val="none"/>
        </w:rPr>
        <w:t xml:space="preserve">.项目</w:t>
      </w:r>
      <w:r>
        <w:rPr>
          <w:rFonts w:hint="eastAsia" w:ascii="Times New Roman" w:hAnsi="Times New Roman" w:eastAsia="宋体" w:cs="Times New Roman"/>
          <w:color w:val="000000"/>
          <w:sz w:val="24"/>
          <w:highlight w:val="none"/>
          <w:lang w:eastAsia="zh-CN"/>
        </w:rPr>
        <w:t xml:space="preserve">预算金额：三年</w:t>
      </w:r>
      <w:r>
        <w:rPr>
          <w:rFonts w:hint="eastAsia" w:ascii="Times New Roman" w:hAnsi="Times New Roman" w:eastAsia="宋体" w:cs="Times New Roman"/>
          <w:color w:val="000000"/>
          <w:sz w:val="24"/>
          <w:highlight w:val="none"/>
          <w:lang w:val="en-US" w:eastAsia="zh-CN"/>
        </w:rPr>
        <w:t xml:space="preserve">4031.4</w:t>
      </w:r>
      <w:r>
        <w:rPr>
          <w:rFonts w:hint="eastAsia" w:ascii="Times New Roman" w:hAnsi="Times New Roman" w:eastAsia="宋体" w:cs="Times New Roman"/>
          <w:color w:val="000000"/>
          <w:sz w:val="24"/>
          <w:highlight w:val="none"/>
        </w:rPr>
        <w:t xml:space="preserve">万元</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t xml:space="preserve">1343.8万</w:t>
      </w:r>
      <w:r>
        <w:rPr>
          <w:rFonts w:hint="eastAsia" w:ascii="Times New Roman" w:hAnsi="Times New Roman" w:eastAsia="宋体" w:cs="Times New Roman"/>
          <w:color w:val="000000"/>
          <w:sz w:val="24"/>
          <w:highlight w:val="none"/>
        </w:rPr>
        <w:t xml:space="preserve">元/年。</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w:t>
      </w:r>
      <w:r>
        <w:rPr>
          <w:rFonts w:hint="eastAsia" w:ascii="Times New Roman" w:hAnsi="Times New Roman" w:eastAsia="宋体" w:cs="Times New Roman"/>
          <w:color w:val="000000"/>
          <w:sz w:val="24"/>
          <w:highlight w:val="none"/>
        </w:rPr>
        <w:t xml:space="preserve">.项目最高限价：三年</w:t>
      </w:r>
      <w:r>
        <w:rPr>
          <w:rFonts w:hint="eastAsia" w:ascii="Times New Roman" w:hAnsi="Times New Roman" w:eastAsia="宋体" w:cs="Times New Roman"/>
          <w:color w:val="000000"/>
          <w:sz w:val="24"/>
          <w:highlight w:val="none"/>
          <w:lang w:val="en-US" w:eastAsia="zh-CN"/>
        </w:rPr>
        <w:t xml:space="preserve">4031.373771</w:t>
      </w:r>
      <w:r>
        <w:rPr>
          <w:rFonts w:hint="eastAsia" w:ascii="Times New Roman" w:hAnsi="Times New Roman" w:eastAsia="宋体" w:cs="Times New Roman"/>
          <w:color w:val="000000"/>
          <w:sz w:val="24"/>
          <w:highlight w:val="none"/>
        </w:rPr>
        <w:t xml:space="preserve">万元</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1343.791257万</w:t>
      </w:r>
      <w:r>
        <w:rPr>
          <w:rFonts w:hint="eastAsia" w:ascii="Times New Roman" w:hAnsi="Times New Roman" w:eastAsia="宋体" w:cs="Times New Roman"/>
          <w:color w:val="000000"/>
          <w:sz w:val="24"/>
          <w:highlight w:val="none"/>
        </w:rPr>
        <w:t xml:space="preserve">元/年。供应商</w:t>
      </w:r>
      <w:r>
        <w:rPr>
          <w:rFonts w:hint="eastAsia" w:ascii="Times New Roman" w:hAnsi="Times New Roman" w:eastAsia="宋体" w:cs="Times New Roman"/>
          <w:color w:val="000000"/>
          <w:sz w:val="24"/>
          <w:highlight w:val="none"/>
          <w:lang w:eastAsia="zh-CN"/>
        </w:rPr>
        <w:t xml:space="preserve">投标</w:t>
      </w:r>
      <w:r>
        <w:rPr>
          <w:rFonts w:hint="eastAsia" w:ascii="Times New Roman" w:hAnsi="Times New Roman" w:eastAsia="宋体" w:cs="Times New Roman"/>
          <w:color w:val="000000"/>
          <w:sz w:val="24"/>
          <w:highlight w:val="none"/>
        </w:rPr>
        <w:t xml:space="preserve">报价不得超过最高限价（总价最高限价及单价最高限价），否则作无效响应处理。</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.采购需求：武进国家高新区内市政道路、桥梁、管道、驳岸、路灯、景观照明等市政设施的巡查、维修、改建、新建、管护等项目内容。（具体见详细清单）；养护考核等级要求：合格。</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rPr>
        <w:t xml:space="preserve">.合同履行期限：</w:t>
      </w:r>
      <w:bookmarkStart w:id="8" w:name="_Hlk110248781"/>
      <w:r>
        <w:rPr>
          <w:rFonts w:hint="eastAsia" w:ascii="Times New Roman" w:hAnsi="Times New Roman" w:eastAsia="宋体" w:cs="Times New Roman"/>
          <w:color w:val="000000"/>
          <w:sz w:val="24"/>
          <w:highlight w:val="none"/>
        </w:rPr>
        <w:t xml:space="preserve">三年，合同一年一签，每年考核合格后续签下一年合同。</w:t>
      </w:r>
      <w:bookmarkEnd w:id="8"/>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hint="eastAsia" w:ascii="Times New Roman" w:hAnsi="Times New Roman" w:eastAsia="宋体" w:cs="Times New Roman"/>
          <w:color w:val="000000"/>
          <w:sz w:val="24"/>
          <w:highlight w:val="none"/>
        </w:rPr>
        <w:t xml:space="preserve">.本项目是否接受联合体投标：</w:t>
      </w:r>
      <w:r>
        <w:rPr>
          <w:rFonts w:hint="eastAsia" w:ascii="Times New Roman" w:hAnsi="Times New Roman" w:eastAsia="宋体" w:cs="Times New Roman"/>
          <w:color w:val="000000"/>
          <w:sz w:val="24"/>
          <w:highlight w:val="none"/>
          <w:lang w:eastAsia="zh-CN"/>
        </w:rPr>
        <w:t xml:space="preserve">是</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color w:val="000000"/>
          <w:sz w:val="24"/>
          <w:highlight w:val="none"/>
        </w:rPr>
      </w:pPr>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w:t>
      </w:r>
      <w:r>
        <w:rPr>
          <w:color w:val="000000"/>
          <w:sz w:val="24"/>
          <w:highlight w:val="none"/>
        </w:rPr>
        <w:t xml:space="preserve">投标：否</w:t>
      </w:r>
      <w:r>
        <w:rPr>
          <w:rFonts w:hint="eastAsia"/>
          <w:color w:val="000000"/>
          <w:sz w:val="24"/>
          <w:highlight w:val="none"/>
        </w:rPr>
        <w:t xml:space="preserve">。</w:t>
      </w:r>
      <w:r>
        <w:rPr>
          <w:rFonts w:hint="eastAsia"/>
          <w:color w:val="000000"/>
          <w:sz w:val="24"/>
          <w:highlight w:val="none"/>
        </w:rPr>
      </w:r>
      <w:r/>
    </w:p>
    <w:p>
      <w:pPr>
        <w:pStyle w:val="1025"/>
        <w:ind w:firstLine="482"/>
        <w:jc w:val="left"/>
        <w:spacing w:before="0" w:line="360" w:lineRule="auto"/>
        <w:tabs>
          <w:tab w:val="right" w:pos="8937" w:leader="dot"/>
        </w:tabs>
        <w:rPr>
          <w:rFonts w:ascii="Times New Roman" w:hAnsi="Times New Roman" w:eastAsia="宋体"/>
          <w:color w:val="000000"/>
          <w:sz w:val="24"/>
          <w:szCs w:val="24"/>
          <w:highlight w:val="none"/>
        </w:rPr>
      </w:pPr>
      <w:r/>
      <w:bookmarkStart w:id="9" w:name="_Toc28359003"/>
      <w:r/>
      <w:bookmarkStart w:id="10" w:name="_Toc35393791"/>
      <w:r/>
      <w:bookmarkStart w:id="11" w:name="_Toc28359080"/>
      <w:r/>
      <w:bookmarkStart w:id="12" w:name="_Toc35393622"/>
      <w:r>
        <w:rPr>
          <w:rFonts w:ascii="Times New Roman" w:hAnsi="Times New Roman" w:eastAsia="宋体"/>
          <w:color w:val="000000"/>
          <w:sz w:val="24"/>
          <w:szCs w:val="24"/>
          <w:highlight w:val="none"/>
        </w:rPr>
        <w:t xml:space="preserve">二、申请人的资格要求</w:t>
      </w:r>
      <w:bookmarkEnd w:id="9"/>
      <w:r/>
      <w:bookmarkEnd w:id="10"/>
      <w:r/>
      <w:bookmarkEnd w:id="11"/>
      <w:r/>
      <w:bookmarkEnd w:id="12"/>
      <w:r>
        <w:rPr>
          <w:rFonts w:ascii="Times New Roman" w:hAnsi="Times New Roman" w:eastAsia="宋体"/>
          <w:color w:val="000000"/>
          <w:sz w:val="24"/>
          <w:szCs w:val="24"/>
          <w:highlight w:val="none"/>
        </w:rPr>
        <w:t xml:space="preserve">（须同时满足）</w:t>
      </w:r>
      <w:r>
        <w:rPr>
          <w:rFonts w:ascii="Times New Roman" w:hAnsi="Times New Roman" w:eastAsia="宋体"/>
          <w:color w:val="000000"/>
          <w:sz w:val="24"/>
          <w:szCs w:val="24"/>
          <w:highlight w:val="none"/>
        </w:rPr>
      </w:r>
      <w:r/>
    </w:p>
    <w:p>
      <w:pPr>
        <w:pStyle w:val="1023"/>
        <w:ind w:firstLine="480"/>
        <w:spacing w:line="360" w:lineRule="auto"/>
        <w:rPr>
          <w:color w:val="000000"/>
          <w:sz w:val="24"/>
          <w:highlight w:val="none"/>
        </w:rPr>
      </w:pPr>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1.1未被“信用中国”网站或“中国政府采购网”列入失信被执行人、重大税收违法案件当事人名单、政府采购严重失信行为记录名单；</w:t>
      </w:r>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Times New Roman" w:hAnsi="Times New Roman" w:eastAsia="宋体" w:cs="Times New Roman"/>
          <w:color w:val="000000"/>
          <w:sz w:val="24"/>
          <w:highlight w:val="none"/>
        </w:rPr>
      </w:r>
      <w:r/>
    </w:p>
    <w:p>
      <w:pPr>
        <w:pStyle w:val="1023"/>
        <w:ind w:firstLine="480"/>
        <w:spacing w:line="360" w:lineRule="auto"/>
        <w:rPr>
          <w:color w:val="000000"/>
          <w:sz w:val="24"/>
          <w:highlight w:val="none"/>
        </w:rPr>
      </w:pPr>
      <w:r/>
      <w:bookmarkStart w:id="13" w:name="_Toc28359081"/>
      <w:r/>
      <w:bookmarkStart w:id="14" w:name="_Toc28359004"/>
      <w:r>
        <w:rPr>
          <w:color w:val="000000"/>
          <w:sz w:val="24"/>
          <w:highlight w:val="none"/>
        </w:rPr>
        <w:t xml:space="preserve">2.落实政府采购政策需满足的资格要求：</w:t>
      </w:r>
      <w:r>
        <w:rPr>
          <w:color w:val="000000"/>
          <w:sz w:val="24"/>
          <w:highlight w:val="none"/>
        </w:rPr>
      </w:r>
      <w:r/>
    </w:p>
    <w:p>
      <w:pPr>
        <w:pStyle w:val="1023"/>
        <w:ind w:firstLine="480"/>
        <w:spacing w:line="360" w:lineRule="auto"/>
        <w:rPr>
          <w:rFonts w:hint="eastAsia"/>
          <w:color w:val="000000"/>
          <w:sz w:val="24"/>
          <w:highlight w:val="none"/>
          <w:lang w:eastAsia="zh-CN"/>
        </w:rPr>
      </w:pPr>
      <w:r>
        <w:rPr>
          <w:color w:val="000000"/>
          <w:sz w:val="24"/>
          <w:highlight w:val="none"/>
        </w:rPr>
        <w:t xml:space="preserve">2.1 中小企业政策</w:t>
      </w:r>
      <w:r>
        <w:rPr>
          <w:rFonts w:hint="eastAsia"/>
          <w:color w:val="000000"/>
          <w:sz w:val="24"/>
          <w:highlight w:val="none"/>
          <w:lang w:eastAsia="zh-CN"/>
        </w:rPr>
        <w:t xml:space="preserve">：</w:t>
      </w:r>
      <w:r>
        <w:rPr>
          <w:rFonts w:hint="eastAsia"/>
          <w:color w:val="000000"/>
          <w:sz w:val="24"/>
          <w:highlight w:val="none"/>
          <w:lang w:eastAsia="zh-CN"/>
        </w:rPr>
      </w:r>
      <w:r/>
    </w:p>
    <w:p>
      <w:pPr>
        <w:pStyle w:val="1023"/>
        <w:ind w:firstLine="480"/>
        <w:spacing w:line="360" w:lineRule="auto"/>
        <w:rPr>
          <w:color w:val="000000"/>
          <w:sz w:val="24"/>
          <w:highlight w:val="none"/>
        </w:rPr>
      </w:pPr>
      <w:r>
        <w:rPr>
          <w:rFonts w:hint="eastAsia" w:ascii="Times New Roman" w:hAnsi="Times New Roman" w:eastAsia="宋体" w:cs="Times New Roman"/>
          <w:color w:val="000000"/>
          <w:sz w:val="24"/>
          <w:highlight w:val="none"/>
        </w:rPr>
        <w:t xml:space="preserve">■</w:t>
      </w:r>
      <w:r>
        <w:rPr>
          <w:rFonts w:hint="eastAsia"/>
          <w:color w:val="000000"/>
          <w:sz w:val="24"/>
          <w:highlight w:val="none"/>
        </w:rPr>
        <w:t xml:space="preserve">本项目不专门面向中小企业预留采购份额。</w:t>
      </w:r>
      <w:r>
        <w:rPr>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color w:val="000000"/>
          <w:sz w:val="24"/>
          <w:highlight w:val="none"/>
        </w:rPr>
        <w:t xml:space="preserve">□</w:t>
      </w:r>
      <w:r>
        <w:rPr>
          <w:rFonts w:hint="eastAsia" w:ascii="Times New Roman" w:hAnsi="Times New Roman" w:eastAsia="宋体" w:cs="Times New Roman"/>
          <w:color w:val="000000"/>
          <w:sz w:val="24"/>
          <w:highlight w:val="none"/>
        </w:rPr>
        <w:t xml:space="preserve">本项目专门面向</w:t>
      </w:r>
      <w:r>
        <w:rPr>
          <w:rFonts w:hint="eastAsia" w:ascii="Times New Roman" w:hAnsi="Times New Roman" w:eastAsia="宋体" w:cs="Times New Roman"/>
          <w:color w:val="000000"/>
          <w:sz w:val="24"/>
          <w:highlight w:val="none"/>
          <w:lang w:val="en-US" w:eastAsia="zh-CN"/>
        </w:rPr>
        <w:t xml:space="preserve"> </w:t>
      </w:r>
      <w:r>
        <w:rPr>
          <w:rFonts w:hint="eastAsia"/>
          <w:color w:val="000000"/>
          <w:sz w:val="24"/>
          <w:highlight w:val="none"/>
        </w:rPr>
        <w:t xml:space="preserve">□</w:t>
      </w:r>
      <w:r>
        <w:rPr>
          <w:rFonts w:hint="eastAsia" w:ascii="Times New Roman" w:hAnsi="Times New Roman" w:eastAsia="宋体" w:cs="Times New Roman"/>
          <w:color w:val="000000"/>
          <w:sz w:val="24"/>
          <w:highlight w:val="none"/>
        </w:rPr>
        <w:t xml:space="preserve">中小 □小微企业  采购。即：提供的货物全部由符合政策要求的中小/小微企业制造、服务全部由符合政策要求的中小/小微企业承接。</w:t>
      </w:r>
      <w:r>
        <w:rPr>
          <w:rFonts w:hint="eastAsia" w:ascii="Times New Roman" w:hAnsi="Times New Roman" w:eastAsia="宋体" w:cs="Times New Roman"/>
          <w:color w:val="000000"/>
          <w:sz w:val="24"/>
          <w:highlight w:val="none"/>
        </w:rPr>
      </w:r>
      <w:r/>
    </w:p>
    <w:p>
      <w:pPr>
        <w:pStyle w:val="1023"/>
        <w:ind w:firstLine="480"/>
        <w:spacing w:line="360" w:lineRule="auto"/>
        <w:rPr>
          <w:i/>
          <w:iCs/>
          <w:color w:val="000000"/>
          <w:sz w:val="24"/>
          <w:highlight w:val="none"/>
          <w:u w:val="single"/>
        </w:rPr>
      </w:pPr>
      <w:r>
        <w:rPr>
          <w:color w:val="000000"/>
          <w:sz w:val="24"/>
          <w:highlight w:val="none"/>
        </w:rPr>
        <w:t xml:space="preserve">3.本项目的特定资格要求：</w:t>
      </w:r>
      <w:r>
        <w:rPr>
          <w:i/>
          <w:iCs/>
          <w:color w:val="000000"/>
          <w:sz w:val="24"/>
          <w:highlight w:val="none"/>
          <w:u w:val="single"/>
        </w:rPr>
      </w:r>
      <w:r/>
    </w:p>
    <w:p>
      <w:pPr>
        <w:pStyle w:val="1023"/>
        <w:ind w:firstLine="480"/>
        <w:spacing w:line="360" w:lineRule="auto"/>
        <w:rPr>
          <w:rFonts w:hint="eastAsia"/>
          <w:color w:val="000000"/>
          <w:sz w:val="24"/>
          <w:highlight w:val="none"/>
        </w:rPr>
      </w:pPr>
      <w:r>
        <w:rPr>
          <w:color w:val="000000"/>
          <w:sz w:val="24"/>
          <w:highlight w:val="none"/>
        </w:rPr>
        <w:t xml:space="preserve">3.1本项目是否接受分支机构参与投标：</w:t>
      </w:r>
      <w:r>
        <w:rPr>
          <w:rFonts w:hint="eastAsia" w:ascii="Times New Roman" w:hAnsi="Times New Roman" w:eastAsia="宋体" w:cs="Times New Roman"/>
          <w:color w:val="000000"/>
          <w:sz w:val="24"/>
          <w:highlight w:val="none"/>
        </w:rPr>
        <w:t xml:space="preserve">□</w:t>
      </w:r>
      <w:r>
        <w:rPr>
          <w:color w:val="000000"/>
          <w:sz w:val="24"/>
          <w:highlight w:val="none"/>
        </w:rPr>
        <w:t xml:space="preserve">是   </w:t>
      </w:r>
      <w:r>
        <w:rPr>
          <w:rFonts w:hint="eastAsia" w:ascii="Times New Roman" w:hAnsi="Times New Roman" w:eastAsia="宋体" w:cs="Times New Roman"/>
          <w:color w:val="000000"/>
          <w:sz w:val="24"/>
          <w:highlight w:val="none"/>
        </w:rPr>
        <w:t xml:space="preserve">■</w:t>
      </w:r>
      <w:r>
        <w:rPr>
          <w:color w:val="000000"/>
          <w:sz w:val="24"/>
          <w:highlight w:val="none"/>
        </w:rPr>
        <w:t xml:space="preserve">否；</w:t>
      </w:r>
      <w:r>
        <w:rPr>
          <w:rFonts w:hint="eastAsia"/>
          <w:i/>
          <w:color w:val="000000"/>
          <w:sz w:val="24"/>
          <w:highlight w:val="none"/>
        </w:rPr>
        <w:t xml:space="preserve">（仅当项目涉及银行、保险、石油石化、电力、电信等行业有特殊情况的，可以接受分支机构参与）</w:t>
      </w:r>
      <w:r>
        <w:rPr>
          <w:rFonts w:hint="eastAsia"/>
          <w:color w:val="000000"/>
          <w:sz w:val="24"/>
          <w:highlight w:val="none"/>
        </w:rPr>
      </w:r>
      <w:r/>
    </w:p>
    <w:p>
      <w:pPr>
        <w:pStyle w:val="1023"/>
        <w:ind w:firstLine="480"/>
        <w:spacing w:line="360" w:lineRule="auto"/>
        <w:rPr>
          <w:color w:val="000000"/>
          <w:sz w:val="24"/>
          <w:highlight w:val="none"/>
        </w:rPr>
      </w:pPr>
      <w:r>
        <w:rPr>
          <w:color w:val="000000"/>
          <w:sz w:val="24"/>
          <w:highlight w:val="none"/>
        </w:rPr>
        <w:t xml:space="preserve">3.2本项目是否属于政府购买服务：</w:t>
      </w:r>
      <w:r>
        <w:rPr>
          <w:color w:val="000000"/>
          <w:sz w:val="24"/>
          <w:highlight w:val="none"/>
        </w:rPr>
      </w:r>
      <w:r/>
    </w:p>
    <w:p>
      <w:pPr>
        <w:pStyle w:val="1023"/>
        <w:ind w:firstLine="720"/>
        <w:spacing w:line="360" w:lineRule="auto"/>
        <w:tabs>
          <w:tab w:val="left" w:pos="900" w:leader="none"/>
          <w:tab w:val="left" w:pos="1134" w:leader="none"/>
          <w:tab w:val="left" w:pos="1589" w:leader="none"/>
          <w:tab w:val="left" w:pos="5521" w:leader="none"/>
        </w:tabs>
        <w:rPr>
          <w:rFonts w:hint="eastAsia"/>
          <w:color w:val="000000"/>
          <w:sz w:val="24"/>
          <w:highlight w:val="none"/>
          <w:lang w:val="en-US" w:eastAsia="zh-CN"/>
        </w:rPr>
      </w:pPr>
      <w:r>
        <w:rPr>
          <w:rFonts w:hint="eastAsia" w:ascii="Times New Roman" w:hAnsi="Times New Roman" w:eastAsia="宋体" w:cs="Times New Roman"/>
          <w:color w:val="000000"/>
          <w:sz w:val="24"/>
          <w:highlight w:val="none"/>
        </w:rPr>
        <w:t xml:space="preserve">□</w:t>
      </w:r>
      <w:r>
        <w:rPr>
          <w:color w:val="000000"/>
          <w:sz w:val="24"/>
          <w:highlight w:val="none"/>
        </w:rPr>
        <w:t xml:space="preserve">否</w:t>
      </w:r>
      <w:r>
        <w:rPr>
          <w:rFonts w:hint="eastAsia"/>
          <w:color w:val="000000"/>
          <w:sz w:val="24"/>
          <w:highlight w:val="none"/>
          <w:lang w:val="en-US" w:eastAsia="zh-CN"/>
        </w:rPr>
        <w:t xml:space="preserve"> </w:t>
      </w:r>
      <w:r>
        <w:rPr>
          <w:rFonts w:hint="eastAsia"/>
          <w:color w:val="000000"/>
          <w:sz w:val="24"/>
          <w:highlight w:val="none"/>
          <w:lang w:val="en-US" w:eastAsia="zh-CN"/>
        </w:rPr>
      </w:r>
      <w:r/>
    </w:p>
    <w:p>
      <w:pPr>
        <w:pStyle w:val="1023"/>
        <w:ind w:firstLine="720"/>
        <w:spacing w:line="360" w:lineRule="auto"/>
        <w:tabs>
          <w:tab w:val="left" w:pos="900" w:leader="none"/>
          <w:tab w:val="left" w:pos="1134" w:leader="none"/>
          <w:tab w:val="left" w:pos="1589" w:leader="none"/>
          <w:tab w:val="left" w:pos="5521" w:leader="none"/>
        </w:tabs>
        <w:rPr>
          <w:rFonts w:hint="eastAsia"/>
          <w:color w:val="000000"/>
          <w:sz w:val="24"/>
          <w:highlight w:val="none"/>
        </w:rPr>
      </w:pPr>
      <w:r>
        <w:rPr>
          <w:rFonts w:hint="eastAsia" w:ascii="Times New Roman" w:hAnsi="Times New Roman" w:eastAsia="宋体" w:cs="Times New Roman"/>
          <w:color w:val="000000"/>
          <w:sz w:val="24"/>
          <w:highlight w:val="none"/>
        </w:rPr>
        <w:t xml:space="preserve">■</w:t>
      </w:r>
      <w:r>
        <w:rPr>
          <w:rFonts w:hint="eastAsia"/>
          <w:color w:val="000000"/>
          <w:sz w:val="24"/>
          <w:highlight w:val="none"/>
          <w:lang w:eastAsia="zh-CN"/>
        </w:rPr>
        <w:t xml:space="preserve">是</w:t>
      </w:r>
      <w:r>
        <w:rPr>
          <w:rFonts w:hint="eastAsia"/>
          <w:color w:val="000000"/>
          <w:sz w:val="24"/>
          <w:highlight w:val="none"/>
        </w:rPr>
        <w:t xml:space="preserve">，公益一类事业单位、使用事业编制且由财政拨款保障的群团组织，不得作为承接主体。</w:t>
      </w:r>
      <w:r>
        <w:rPr>
          <w:rFonts w:hint="eastAsia"/>
          <w:color w:val="000000"/>
          <w:sz w:val="24"/>
          <w:highlight w:val="none"/>
        </w:rPr>
      </w:r>
      <w:r/>
    </w:p>
    <w:p>
      <w:pPr>
        <w:pStyle w:val="1023"/>
        <w:ind w:firstLine="480"/>
        <w:spacing w:line="360" w:lineRule="auto"/>
        <w:tabs>
          <w:tab w:val="left" w:pos="900" w:leader="none"/>
          <w:tab w:val="left" w:pos="1134" w:leader="none"/>
          <w:tab w:val="left" w:pos="1589" w:leader="none"/>
          <w:tab w:val="left" w:pos="5521" w:leader="none"/>
        </w:tabs>
        <w:rPr>
          <w:color w:val="000000"/>
          <w:sz w:val="24"/>
          <w:highlight w:val="none"/>
        </w:rPr>
      </w:pPr>
      <w:r>
        <w:rPr>
          <w:color w:val="000000"/>
          <w:sz w:val="24"/>
          <w:highlight w:val="none"/>
        </w:rPr>
        <w:t xml:space="preserve">3.3其他特定资格要求：</w:t>
      </w:r>
      <w:r>
        <w:rPr>
          <w:color w:val="000000"/>
          <w:sz w:val="24"/>
          <w:highlight w:val="none"/>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w:t>
      </w:r>
      <w:r>
        <w:rPr>
          <w:rFonts w:hint="eastAsia" w:ascii="Times New Roman" w:hAnsi="Times New Roman" w:eastAsia="宋体" w:cs="Times New Roman"/>
          <w:color w:val="000000"/>
          <w:sz w:val="24"/>
          <w:highlight w:val="none"/>
          <w:lang w:eastAsia="zh-CN" w:bidi="ar"/>
        </w:rPr>
        <w:t xml:space="preserve">投标人</w:t>
      </w:r>
      <w:r>
        <w:rPr>
          <w:rFonts w:hint="eastAsia" w:ascii="Times New Roman" w:hAnsi="Times New Roman" w:eastAsia="宋体" w:cs="Times New Roman"/>
          <w:color w:val="000000"/>
          <w:sz w:val="24"/>
          <w:highlight w:val="none"/>
          <w:lang w:bidi="ar"/>
        </w:rPr>
        <w:t xml:space="preserve">具</w:t>
      </w:r>
      <w:r>
        <w:rPr>
          <w:rFonts w:hint="eastAsia" w:ascii="Times New Roman" w:hAnsi="Times New Roman" w:eastAsia="宋体" w:cs="Times New Roman"/>
          <w:color w:val="000000"/>
          <w:sz w:val="24"/>
          <w:highlight w:val="none"/>
          <w:lang w:eastAsia="zh-CN" w:bidi="ar"/>
        </w:rPr>
        <w:t xml:space="preserve">备</w:t>
      </w:r>
      <w:r>
        <w:rPr>
          <w:rFonts w:hint="eastAsia" w:ascii="Times New Roman" w:hAnsi="Times New Roman" w:eastAsia="宋体" w:cs="Times New Roman"/>
          <w:color w:val="000000"/>
          <w:sz w:val="24"/>
          <w:highlight w:val="none"/>
          <w:lang w:bidi="ar"/>
        </w:rPr>
        <w:t xml:space="preserve">市政公用工程施工总承包三级及以上资质；</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w:t>
      </w:r>
      <w:r>
        <w:rPr>
          <w:rFonts w:hint="eastAsia" w:ascii="Times New Roman" w:hAnsi="Times New Roman" w:eastAsia="宋体" w:cs="Times New Roman"/>
          <w:color w:val="000000"/>
          <w:sz w:val="24"/>
          <w:highlight w:val="none"/>
          <w:lang w:eastAsia="zh-CN" w:bidi="ar"/>
        </w:rPr>
        <w:t xml:space="preserve">投标人具备</w:t>
      </w:r>
      <w:r>
        <w:rPr>
          <w:rFonts w:hint="eastAsia" w:ascii="Times New Roman" w:hAnsi="Times New Roman" w:eastAsia="宋体" w:cs="Times New Roman"/>
          <w:color w:val="000000"/>
          <w:sz w:val="24"/>
          <w:highlight w:val="none"/>
          <w:lang w:bidi="ar"/>
        </w:rPr>
        <w:t xml:space="preserve">安全生产许可证；</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（3）拟派项目负责人具有</w:t>
      </w:r>
      <w:r>
        <w:rPr>
          <w:rFonts w:hint="eastAsia" w:ascii="Times New Roman" w:hAnsi="Times New Roman" w:eastAsia="宋体" w:cs="Times New Roman"/>
          <w:color w:val="000000"/>
          <w:sz w:val="24"/>
          <w:highlight w:val="none"/>
          <w:lang w:val="en-US" w:eastAsia="zh-CN" w:bidi="ar"/>
        </w:rPr>
        <w:t xml:space="preserve">市政公用工程</w:t>
      </w:r>
      <w:r>
        <w:rPr>
          <w:rFonts w:hint="eastAsia" w:ascii="Times New Roman" w:hAnsi="Times New Roman" w:eastAsia="宋体" w:cs="Times New Roman"/>
          <w:color w:val="000000"/>
          <w:sz w:val="24"/>
          <w:highlight w:val="none"/>
          <w:lang w:bidi="ar"/>
        </w:rPr>
        <w:t xml:space="preserve">二级（含）以上建造师资质以及行政主管部门核发的有效安全B证；以及企业为其缴纳的2025年</w:t>
      </w:r>
      <w:r>
        <w:rPr>
          <w:rFonts w:hint="eastAsia" w:ascii="Times New Roman" w:hAnsi="Times New Roman" w:eastAsia="宋体" w:cs="Times New Roman"/>
          <w:color w:val="000000"/>
          <w:sz w:val="24"/>
          <w:highlight w:val="none"/>
          <w:lang w:val="en-US" w:eastAsia="zh-CN" w:bidi="ar"/>
        </w:rPr>
        <w:t xml:space="preserve">10</w:t>
      </w:r>
      <w:r>
        <w:rPr>
          <w:rFonts w:hint="eastAsia" w:ascii="Times New Roman" w:hAnsi="Times New Roman" w:eastAsia="宋体" w:cs="Times New Roman"/>
          <w:color w:val="000000"/>
          <w:sz w:val="24"/>
          <w:highlight w:val="none"/>
          <w:lang w:bidi="ar"/>
        </w:rPr>
        <w:t xml:space="preserve">月至2025年</w:t>
      </w:r>
      <w:r>
        <w:rPr>
          <w:rFonts w:hint="eastAsia" w:ascii="Times New Roman" w:hAnsi="Times New Roman" w:eastAsia="宋体" w:cs="Times New Roman"/>
          <w:color w:val="000000"/>
          <w:sz w:val="24"/>
          <w:highlight w:val="none"/>
          <w:lang w:val="en-US" w:eastAsia="zh-CN" w:bidi="ar"/>
        </w:rPr>
        <w:t xml:space="preserve">12</w:t>
      </w:r>
      <w:r>
        <w:rPr>
          <w:rFonts w:hint="eastAsia" w:ascii="Times New Roman" w:hAnsi="Times New Roman" w:eastAsia="宋体" w:cs="Times New Roman"/>
          <w:color w:val="000000"/>
          <w:sz w:val="24"/>
          <w:highlight w:val="none"/>
          <w:lang w:bidi="ar"/>
        </w:rPr>
        <w:t xml:space="preserve">月连续3个月的社保证明。</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（注：一级建造师电子注册证书，执行《住房和城乡建设部办公厅关于全面实行一级建造师电子注册证书的通知》（建办市[2021]40 号）文件。使用电子证书的，需按江苏省住房和城乡建设厅〔2023〕第5号公告规定使用新版电子证照。）</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val="en-US" w:eastAsia="zh-CN" w:bidi="ar"/>
        </w:rPr>
        <w:t xml:space="preserve">3.4</w:t>
      </w:r>
      <w:r>
        <w:rPr>
          <w:rFonts w:hint="eastAsia" w:ascii="Times New Roman" w:hAnsi="Times New Roman" w:eastAsia="宋体" w:cs="Times New Roman"/>
          <w:color w:val="000000"/>
          <w:sz w:val="24"/>
          <w:highlight w:val="none"/>
          <w:lang w:bidi="ar"/>
        </w:rPr>
        <w:t xml:space="preserve">如</w:t>
      </w:r>
      <w:r>
        <w:rPr>
          <w:rFonts w:hint="eastAsia" w:ascii="Times New Roman" w:hAnsi="Times New Roman" w:eastAsia="宋体" w:cs="Times New Roman"/>
          <w:color w:val="000000"/>
          <w:sz w:val="24"/>
          <w:highlight w:val="none"/>
          <w:lang w:eastAsia="zh-CN" w:bidi="ar"/>
        </w:rPr>
        <w:t xml:space="preserve">为</w:t>
      </w:r>
      <w:r>
        <w:rPr>
          <w:rFonts w:hint="eastAsia" w:ascii="Times New Roman" w:hAnsi="Times New Roman" w:eastAsia="宋体" w:cs="Times New Roman"/>
          <w:color w:val="000000"/>
          <w:sz w:val="24"/>
          <w:highlight w:val="none"/>
          <w:lang w:bidi="ar"/>
        </w:rPr>
        <w:t xml:space="preserve">联合体投标，应满足以下要求：</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（1）联合体成员以一个申请人的身份参与投标，联合体成员数量不超过2家； </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color w:val="000000"/>
          <w:sz w:val="24"/>
          <w:highlight w:val="none"/>
          <w:lang w:val="en-US" w:eastAsia="zh-CN" w:bidi="ar"/>
        </w:rPr>
        <w:t xml:space="preserve">2</w:t>
      </w:r>
      <w:r>
        <w:rPr>
          <w:rFonts w:hint="eastAsia" w:ascii="Times New Roman" w:hAnsi="Times New Roman" w:eastAsia="宋体" w:cs="Times New Roman"/>
          <w:color w:val="000000"/>
          <w:sz w:val="24"/>
          <w:highlight w:val="none"/>
          <w:lang w:bidi="ar"/>
        </w:rPr>
        <w:t xml:space="preserve">）联合体协议中必须明确联合体牵头人及联合体成员单位名称、职责分工及权利义务；</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eastAsia="zh-CN" w:bidi="ar"/>
        </w:rPr>
      </w:pPr>
      <w:r>
        <w:rPr>
          <w:rFonts w:hint="eastAsia" w:ascii="Times New Roman" w:hAnsi="Times New Roman" w:eastAsia="宋体" w:cs="Times New Roman"/>
          <w:color w:val="000000"/>
          <w:sz w:val="24"/>
          <w:highlight w:val="none"/>
          <w:lang w:bidi="ar"/>
        </w:rPr>
        <w:t xml:space="preserve">（</w:t>
      </w:r>
      <w:r>
        <w:rPr>
          <w:rFonts w:hint="eastAsia" w:ascii="Times New Roman" w:hAnsi="Times New Roman" w:eastAsia="宋体" w:cs="Times New Roman"/>
          <w:color w:val="000000"/>
          <w:sz w:val="24"/>
          <w:highlight w:val="none"/>
          <w:lang w:val="en-US" w:eastAsia="zh-CN" w:bidi="ar"/>
        </w:rPr>
        <w:t xml:space="preserve">3</w:t>
      </w:r>
      <w:r>
        <w:rPr>
          <w:rFonts w:hint="eastAsia" w:ascii="Times New Roman" w:hAnsi="Times New Roman" w:eastAsia="宋体" w:cs="Times New Roman"/>
          <w:color w:val="000000"/>
          <w:sz w:val="24"/>
          <w:highlight w:val="none"/>
          <w:lang w:bidi="ar"/>
        </w:rPr>
        <w:t xml:space="preserve">）联合体各方成员不得再以自己名义单独投标，也不得组成新的联合体或参加其他联合体在本项目中投标；联合体中标后，其成员不得变更。</w:t>
      </w:r>
      <w:r>
        <w:rPr>
          <w:rFonts w:hint="eastAsia" w:ascii="Times New Roman" w:hAnsi="Times New Roman" w:eastAsia="宋体" w:cs="Times New Roman"/>
          <w:color w:val="000000"/>
          <w:sz w:val="24"/>
          <w:highlight w:val="none"/>
          <w:lang w:eastAsia="zh-CN" w:bidi="ar"/>
        </w:rPr>
      </w:r>
      <w:r/>
    </w:p>
    <w:p>
      <w:pPr>
        <w:pStyle w:val="1025"/>
        <w:ind w:firstLine="482"/>
        <w:jc w:val="left"/>
        <w:spacing w:before="0" w:line="360" w:lineRule="auto"/>
        <w:widowControl/>
        <w:tabs>
          <w:tab w:val="right" w:pos="8937" w:leader="dot"/>
        </w:tabs>
        <w:rPr>
          <w:rFonts w:ascii="Times New Roman" w:hAnsi="Times New Roman" w:eastAsia="宋体"/>
          <w:color w:val="000000"/>
          <w:sz w:val="24"/>
          <w:szCs w:val="24"/>
          <w:highlight w:val="none"/>
        </w:rPr>
      </w:pPr>
      <w:r/>
      <w:bookmarkEnd w:id="13"/>
      <w:r/>
      <w:bookmarkEnd w:id="14"/>
      <w:r/>
      <w:bookmarkStart w:id="15" w:name="_Toc35393792"/>
      <w:r/>
      <w:bookmarkStart w:id="16" w:name="_Toc35393623"/>
      <w:r>
        <w:rPr>
          <w:rFonts w:ascii="Times New Roman" w:hAnsi="Times New Roman" w:eastAsia="宋体"/>
          <w:color w:val="000000"/>
          <w:sz w:val="24"/>
          <w:szCs w:val="24"/>
          <w:highlight w:val="none"/>
        </w:rPr>
        <w:t xml:space="preserve">三、获取招标文件</w:t>
      </w:r>
      <w:bookmarkEnd w:id="15"/>
      <w:r/>
      <w:bookmarkEnd w:id="16"/>
      <w:r>
        <w:rPr>
          <w:rFonts w:ascii="Times New Roman" w:hAnsi="Times New Roman" w:eastAsia="宋体"/>
          <w:color w:val="000000"/>
          <w:sz w:val="24"/>
          <w:szCs w:val="24"/>
          <w:highlight w:val="none"/>
        </w:rPr>
      </w:r>
      <w:r/>
    </w:p>
    <w:p>
      <w:pPr>
        <w:pStyle w:val="1023"/>
        <w:ind w:firstLine="540"/>
        <w:spacing w:line="360" w:lineRule="auto"/>
        <w:rPr>
          <w:rFonts w:hint="eastAsia" w:ascii="Times New Roman" w:hAnsi="Times New Roman" w:eastAsia="宋体" w:cs="Times New Roman"/>
          <w:color w:val="000000"/>
          <w:sz w:val="24"/>
          <w:highlight w:val="none"/>
          <w:lang w:bidi="ar"/>
        </w:rPr>
      </w:pPr>
      <w:r/>
      <w:bookmarkStart w:id="17" w:name="_Toc28359007"/>
      <w:r/>
      <w:bookmarkStart w:id="18" w:name="_Toc35393794"/>
      <w:r/>
      <w:bookmarkStart w:id="19" w:name="_Toc28359084"/>
      <w:r/>
      <w:bookmarkStart w:id="20" w:name="_Toc35393625"/>
      <w:r>
        <w:rPr>
          <w:rFonts w:hint="eastAsia" w:ascii="Times New Roman" w:hAnsi="Times New Roman" w:eastAsia="宋体" w:cs="Times New Roman"/>
          <w:color w:val="000000"/>
          <w:sz w:val="24"/>
          <w:highlight w:val="none"/>
          <w:lang w:bidi="ar"/>
        </w:rPr>
        <w:t xml:space="preserve">1.时间：自招标文件公告发布之日起5个工作日。</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2.地点：</w:t>
      </w:r>
      <w:bookmarkStart w:id="21" w:name="_Toc38985266"/>
      <w:r>
        <w:rPr>
          <w:rFonts w:hint="eastAsia" w:ascii="Times New Roman" w:hAnsi="Times New Roman" w:eastAsia="宋体" w:cs="Times New Roman"/>
          <w:color w:val="000000"/>
          <w:sz w:val="24"/>
          <w:highlight w:val="none"/>
          <w:lang w:bidi="ar"/>
        </w:rPr>
        <w:t xml:space="preserve">“苏采云”政府采购一体化平台 。</w:t>
      </w:r>
      <w:bookmarkEnd w:id="21"/>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bidi="ar"/>
        </w:rPr>
      </w:pPr>
      <w:r>
        <w:rPr>
          <w:rFonts w:hint="eastAsia" w:ascii="Times New Roman" w:hAnsi="Times New Roman" w:eastAsia="宋体" w:cs="Times New Roman"/>
          <w:color w:val="000000"/>
          <w:sz w:val="24"/>
          <w:highlight w:val="none"/>
          <w:lang w:bidi="ar"/>
        </w:rPr>
        <w:t xml:space="preserve">3.方式：在“苏采云”平台自行免费下载采购文件。注：供应商必须登录“苏采云”系统下载电子采购文件方可通过系统进行投标（响应）文件的编制和提交。</w:t>
      </w:r>
      <w:r>
        <w:rPr>
          <w:rFonts w:hint="eastAsia" w:ascii="Times New Roman" w:hAnsi="Times New Roman" w:eastAsia="宋体" w:cs="Times New Roman"/>
          <w:color w:val="000000"/>
          <w:sz w:val="24"/>
          <w:highlight w:val="none"/>
          <w:lang w:bidi="ar"/>
        </w:rPr>
      </w:r>
      <w:r/>
    </w:p>
    <w:p>
      <w:pPr>
        <w:pStyle w:val="1023"/>
        <w:ind w:firstLine="540"/>
        <w:spacing w:line="360" w:lineRule="auto"/>
        <w:rPr>
          <w:rFonts w:hint="eastAsia" w:ascii="Times New Roman" w:hAnsi="Times New Roman" w:eastAsia="宋体" w:cs="Times New Roman"/>
          <w:color w:val="000000"/>
          <w:sz w:val="24"/>
          <w:highlight w:val="none"/>
          <w:lang w:val="en-US" w:eastAsia="zh-CN" w:bidi="ar"/>
        </w:rPr>
      </w:pPr>
      <w:r>
        <w:rPr>
          <w:rFonts w:hint="eastAsia" w:ascii="Times New Roman" w:hAnsi="Times New Roman" w:eastAsia="宋体" w:cs="Times New Roman"/>
          <w:color w:val="000000"/>
          <w:sz w:val="24"/>
          <w:highlight w:val="none"/>
          <w:lang w:bidi="ar"/>
        </w:rPr>
        <w:t xml:space="preserve">4. 售价：0.00元</w:t>
      </w:r>
      <w:r>
        <w:rPr>
          <w:rFonts w:hint="eastAsia" w:ascii="Times New Roman" w:hAnsi="Times New Roman" w:eastAsia="宋体" w:cs="Times New Roman"/>
          <w:color w:val="000000"/>
          <w:sz w:val="24"/>
          <w:highlight w:val="none"/>
          <w:lang w:eastAsia="zh-CN" w:bidi="ar"/>
        </w:rPr>
        <w:t xml:space="preserve">。</w:t>
      </w:r>
      <w:r>
        <w:rPr>
          <w:rFonts w:hint="eastAsia" w:ascii="Times New Roman" w:hAnsi="Times New Roman" w:eastAsia="宋体" w:cs="Times New Roman"/>
          <w:color w:val="000000"/>
          <w:sz w:val="24"/>
          <w:highlight w:val="none"/>
          <w:lang w:val="en-US" w:eastAsia="zh-CN" w:bidi="ar"/>
        </w:rPr>
      </w:r>
      <w:r/>
    </w:p>
    <w:p>
      <w:pPr>
        <w:pStyle w:val="1025"/>
        <w:ind w:firstLine="482"/>
        <w:jc w:val="left"/>
        <w:spacing w:before="0" w:line="360" w:lineRule="auto"/>
        <w:tabs>
          <w:tab w:val="right" w:pos="8937" w:leader="dot"/>
        </w:tabs>
        <w:rPr>
          <w:rFonts w:hint="eastAsia" w:ascii="Times New Roman" w:hAnsi="Times New Roman" w:eastAsia="宋体" w:cs="Times New Roman"/>
          <w:b/>
          <w:color w:val="000000"/>
          <w:sz w:val="24"/>
          <w:szCs w:val="24"/>
          <w:highlight w:val="none"/>
        </w:rPr>
      </w:pPr>
      <w:r>
        <w:rPr>
          <w:rFonts w:hint="eastAsia" w:ascii="Times New Roman" w:hAnsi="Times New Roman" w:eastAsia="宋体" w:cs="Times New Roman"/>
          <w:b/>
          <w:color w:val="000000"/>
          <w:sz w:val="24"/>
          <w:szCs w:val="24"/>
          <w:highlight w:val="none"/>
        </w:rPr>
        <w:t xml:space="preserve">四、提交投标文件截止时间、开标时间和地点</w:t>
      </w:r>
      <w:r>
        <w:rPr>
          <w:rFonts w:hint="eastAsia" w:ascii="Times New Roman" w:hAnsi="Times New Roman" w:eastAsia="宋体" w:cs="Times New Roman"/>
          <w:b/>
          <w:color w:val="000000"/>
          <w:sz w:val="24"/>
          <w:szCs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投标截止时间、开标时间：</w:t>
      </w:r>
      <w:r>
        <w:rPr>
          <w:rFonts w:hint="eastAsia" w:ascii="Times New Roman" w:hAnsi="Times New Roman" w:eastAsia="宋体" w:cs="Times New Roman"/>
          <w:color w:val="000000"/>
          <w:sz w:val="24"/>
          <w:highlight w:val="none"/>
          <w:lang w:eastAsia="zh-CN"/>
        </w:rPr>
        <w:t xml:space="preserve">202</w:t>
      </w: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eastAsia="zh-CN"/>
        </w:rPr>
        <w:t xml:space="preserve">年</w:t>
      </w: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月</w:t>
      </w:r>
      <w:r>
        <w:rPr>
          <w:rFonts w:hint="eastAsia" w:ascii="Times New Roman" w:hAnsi="Times New Roman" w:eastAsia="宋体" w:cs="Times New Roman"/>
          <w:color w:val="000000"/>
          <w:sz w:val="24"/>
          <w:highlight w:val="none"/>
          <w:lang w:val="en-US" w:eastAsia="zh-CN"/>
        </w:rPr>
        <w:t xml:space="preserve">27</w:t>
      </w:r>
      <w:r>
        <w:rPr>
          <w:rFonts w:hint="eastAsia" w:ascii="Times New Roman" w:hAnsi="Times New Roman" w:eastAsia="宋体" w:cs="Times New Roman"/>
          <w:color w:val="000000"/>
          <w:sz w:val="24"/>
          <w:highlight w:val="none"/>
        </w:rPr>
        <w:t xml:space="preserve">日9点</w:t>
      </w:r>
      <w:r>
        <w:rPr>
          <w:rFonts w:hint="eastAsia" w:ascii="Times New Roman" w:hAnsi="Times New Roman" w:eastAsia="宋体" w:cs="Times New Roman"/>
          <w:color w:val="000000"/>
          <w:sz w:val="24"/>
          <w:highlight w:val="none"/>
          <w:lang w:val="en-US" w:eastAsia="zh-CN"/>
        </w:rPr>
        <w:t xml:space="preserve">0</w:t>
      </w:r>
      <w:r>
        <w:rPr>
          <w:rFonts w:hint="eastAsia" w:ascii="Times New Roman" w:hAnsi="Times New Roman" w:eastAsia="宋体" w:cs="Times New Roman"/>
          <w:color w:val="000000"/>
          <w:sz w:val="24"/>
          <w:highlight w:val="none"/>
        </w:rPr>
        <w:t xml:space="preserve">0分（北京时间）。</w:t>
      </w:r>
      <w:r>
        <w:rPr>
          <w:rFonts w:hint="eastAsia" w:ascii="Times New Roman" w:hAnsi="Times New Roman" w:eastAsia="宋体" w:cs="Times New Roman"/>
          <w:color w:val="000000"/>
          <w:sz w:val="24"/>
          <w:highlight w:val="none"/>
        </w:rPr>
      </w:r>
      <w:r/>
    </w:p>
    <w:p>
      <w:pPr>
        <w:pStyle w:val="1023"/>
        <w:ind w:firstLine="480"/>
        <w:spacing w:line="360" w:lineRule="auto"/>
        <w:rPr>
          <w:color w:val="000000"/>
          <w:sz w:val="24"/>
          <w:highlight w:val="none"/>
          <w:lang w:val="zh-TW" w:bidi="ar"/>
        </w:rPr>
      </w:pPr>
      <w:r/>
      <w:bookmarkStart w:id="22" w:name="_Hlk149911415"/>
      <w:r>
        <w:rPr>
          <w:color w:val="000000"/>
          <w:sz w:val="24"/>
          <w:highlight w:val="none"/>
          <w:lang w:bidi="ar"/>
        </w:rPr>
        <w:t xml:space="preserve">2</w:t>
      </w:r>
      <w:r>
        <w:rPr>
          <w:rFonts w:hint="eastAsia"/>
          <w:color w:val="000000"/>
          <w:sz w:val="24"/>
          <w:highlight w:val="none"/>
          <w:lang w:bidi="ar"/>
        </w:rPr>
        <w:t xml:space="preserve">、</w:t>
      </w:r>
      <w:r>
        <w:rPr>
          <w:color w:val="000000"/>
          <w:sz w:val="24"/>
          <w:highlight w:val="none"/>
          <w:lang w:bidi="ar"/>
        </w:rPr>
        <w:t xml:space="preserve">地点：</w:t>
      </w:r>
      <w:r>
        <w:rPr>
          <w:rFonts w:hint="eastAsia"/>
          <w:color w:val="000000"/>
          <w:sz w:val="24"/>
          <w:highlight w:val="none"/>
          <w:lang w:bidi="ar"/>
        </w:rPr>
        <w:t xml:space="preserve">“苏采云”政府采购一体化平台</w:t>
      </w:r>
      <w:r>
        <w:rPr>
          <w:color w:val="000000"/>
          <w:sz w:val="24"/>
          <w:highlight w:val="none"/>
          <w:lang w:bidi="ar"/>
        </w:rPr>
        <w:t xml:space="preserve"> </w:t>
      </w:r>
      <w:r>
        <w:rPr>
          <w:rFonts w:hint="eastAsia" w:ascii="宋体" w:hAnsi="宋体"/>
          <w:color w:val="000000"/>
          <w:sz w:val="24"/>
          <w:highlight w:val="none"/>
        </w:rPr>
        <w:t xml:space="preserve">。</w:t>
      </w:r>
      <w:r>
        <w:rPr>
          <w:color w:val="000000"/>
          <w:sz w:val="24"/>
          <w:highlight w:val="none"/>
          <w:lang w:val="zh-TW" w:bidi="ar"/>
        </w:rPr>
      </w:r>
      <w:r/>
    </w:p>
    <w:p>
      <w:pPr>
        <w:pStyle w:val="1025"/>
        <w:ind w:firstLine="482"/>
        <w:jc w:val="left"/>
        <w:spacing w:before="0" w:line="360" w:lineRule="auto"/>
        <w:tabs>
          <w:tab w:val="right" w:pos="8937" w:leader="dot"/>
        </w:tabs>
        <w:rPr>
          <w:rFonts w:ascii="Times New Roman" w:hAnsi="Times New Roman" w:eastAsia="宋体"/>
          <w:color w:val="000000"/>
          <w:sz w:val="24"/>
          <w:szCs w:val="24"/>
          <w:highlight w:val="none"/>
        </w:rPr>
      </w:pPr>
      <w:r/>
      <w:bookmarkEnd w:id="22"/>
      <w:r>
        <w:rPr>
          <w:rFonts w:hint="eastAsia" w:ascii="Times New Roman" w:hAnsi="Times New Roman" w:eastAsia="宋体"/>
          <w:color w:val="000000"/>
          <w:sz w:val="24"/>
          <w:szCs w:val="24"/>
          <w:highlight w:val="none"/>
          <w:lang w:eastAsia="zh-CN"/>
        </w:rPr>
        <w:t xml:space="preserve">五</w:t>
      </w:r>
      <w:r>
        <w:rPr>
          <w:rFonts w:ascii="Times New Roman" w:hAnsi="Times New Roman" w:eastAsia="宋体"/>
          <w:color w:val="000000"/>
          <w:sz w:val="24"/>
          <w:szCs w:val="24"/>
          <w:highlight w:val="none"/>
        </w:rPr>
        <w:t xml:space="preserve">、公告期限</w:t>
      </w:r>
      <w:bookmarkEnd w:id="17"/>
      <w:r/>
      <w:bookmarkEnd w:id="18"/>
      <w:r/>
      <w:bookmarkEnd w:id="19"/>
      <w:r/>
      <w:bookmarkEnd w:id="20"/>
      <w:r>
        <w:rPr>
          <w:rFonts w:ascii="Times New Roman" w:hAnsi="Times New Roman" w:eastAsia="宋体"/>
          <w:color w:val="000000"/>
          <w:sz w:val="24"/>
          <w:szCs w:val="24"/>
          <w:highlight w:val="none"/>
        </w:rPr>
      </w:r>
      <w:r/>
    </w:p>
    <w:p>
      <w:pPr>
        <w:pStyle w:val="1023"/>
        <w:ind w:firstLine="480"/>
        <w:spacing w:line="360" w:lineRule="auto"/>
        <w:rPr>
          <w:color w:val="000000"/>
          <w:sz w:val="24"/>
          <w:highlight w:val="none"/>
        </w:rPr>
      </w:pPr>
      <w:r>
        <w:rPr>
          <w:color w:val="000000"/>
          <w:sz w:val="24"/>
          <w:highlight w:val="none"/>
        </w:rPr>
        <w:t xml:space="preserve">自本公告发布之日起5个工作日。</w:t>
      </w:r>
      <w:r>
        <w:rPr>
          <w:color w:val="000000"/>
          <w:sz w:val="24"/>
          <w:highlight w:val="none"/>
        </w:rPr>
      </w:r>
      <w:r/>
    </w:p>
    <w:p>
      <w:pPr>
        <w:pStyle w:val="1025"/>
        <w:ind w:firstLine="482"/>
        <w:jc w:val="left"/>
        <w:spacing w:before="0" w:line="360" w:lineRule="auto"/>
        <w:tabs>
          <w:tab w:val="right" w:pos="8937" w:leader="dot"/>
        </w:tabs>
        <w:rPr>
          <w:rFonts w:ascii="Times New Roman" w:hAnsi="Times New Roman" w:eastAsia="宋体"/>
          <w:color w:val="000000"/>
          <w:sz w:val="24"/>
          <w:szCs w:val="24"/>
          <w:highlight w:val="none"/>
        </w:rPr>
      </w:pPr>
      <w:r/>
      <w:bookmarkStart w:id="23" w:name="_Toc35393626"/>
      <w:r/>
      <w:bookmarkStart w:id="24" w:name="_Toc35393795"/>
      <w:r>
        <w:rPr>
          <w:rFonts w:hint="eastAsia" w:ascii="Times New Roman" w:hAnsi="Times New Roman" w:eastAsia="宋体"/>
          <w:color w:val="000000"/>
          <w:sz w:val="24"/>
          <w:szCs w:val="24"/>
          <w:highlight w:val="none"/>
          <w:lang w:eastAsia="zh-CN"/>
        </w:rPr>
        <w:t xml:space="preserve">六</w:t>
      </w:r>
      <w:r>
        <w:rPr>
          <w:rFonts w:ascii="Times New Roman" w:hAnsi="Times New Roman" w:eastAsia="宋体"/>
          <w:color w:val="000000"/>
          <w:sz w:val="24"/>
          <w:szCs w:val="24"/>
          <w:highlight w:val="none"/>
        </w:rPr>
        <w:t xml:space="preserve">、其他补充事宜</w:t>
      </w:r>
      <w:bookmarkEnd w:id="23"/>
      <w:r/>
      <w:bookmarkEnd w:id="24"/>
      <w:r>
        <w:rPr>
          <w:rFonts w:ascii="Times New Roman" w:hAnsi="Times New Roman" w:eastAsia="宋体"/>
          <w:color w:val="000000"/>
          <w:sz w:val="24"/>
          <w:szCs w:val="24"/>
          <w:highlight w:val="none"/>
        </w:rPr>
      </w:r>
      <w:r/>
    </w:p>
    <w:p>
      <w:pPr>
        <w:pStyle w:val="1023"/>
        <w:ind w:firstLine="480"/>
        <w:spacing w:line="360" w:lineRule="auto"/>
        <w:rPr>
          <w:rFonts w:ascii="Times New Roman" w:hAnsi="Times New Roman" w:eastAsia="宋体" w:cs="Times New Roman"/>
          <w:color w:val="000000"/>
          <w:sz w:val="24"/>
          <w:highlight w:val="none"/>
        </w:rPr>
      </w:pPr>
      <w:r/>
      <w:bookmarkStart w:id="25" w:name="OLE_LINK22"/>
      <w:r/>
      <w:bookmarkStart w:id="26" w:name="_Toc35393627"/>
      <w:r/>
      <w:bookmarkStart w:id="27" w:name="_Toc28359085"/>
      <w:r/>
      <w:bookmarkStart w:id="28" w:name="_Toc35393796"/>
      <w:r/>
      <w:bookmarkStart w:id="29" w:name="_Toc28359008"/>
      <w:r>
        <w:rPr>
          <w:rFonts w:hint="eastAsia" w:ascii="Times New Roman" w:hAnsi="Times New Roman" w:eastAsia="宋体" w:cs="Times New Roman"/>
          <w:color w:val="000000"/>
          <w:sz w:val="24"/>
          <w:highlight w:val="none"/>
        </w:rPr>
        <w:t xml:space="preserve">1、投标保证金：无需缴纳。</w:t>
      </w:r>
      <w:r>
        <w:rPr>
          <w:rFonts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w:t>
      </w:r>
      <w:bookmarkStart w:id="30" w:name="_Hlk150161828"/>
      <w:r>
        <w:rPr>
          <w:rFonts w:hint="eastAsia" w:ascii="Times New Roman" w:hAnsi="Times New Roman" w:eastAsia="宋体" w:cs="Times New Roman"/>
          <w:color w:val="000000"/>
          <w:sz w:val="24"/>
          <w:highlight w:val="none"/>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0"/>
      <w:r>
        <w:rPr>
          <w:rFonts w:hint="eastAsia" w:ascii="Times New Roman" w:hAnsi="Times New Roman" w:eastAsia="宋体" w:cs="Times New Roman"/>
          <w:color w:val="000000"/>
          <w:sz w:val="24"/>
          <w:highlight w:val="none"/>
        </w:rPr>
      </w:r>
      <w:r/>
    </w:p>
    <w:p>
      <w:pPr>
        <w:pStyle w:val="1023"/>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Times New Roman" w:hAnsi="Times New Roman" w:eastAsia="宋体" w:cs="Times New Roman"/>
          <w:color w:val="000000"/>
          <w:sz w:val="24"/>
          <w:highlight w:val="none"/>
        </w:rPr>
      </w:r>
      <w:r/>
    </w:p>
    <w:p>
      <w:pPr>
        <w:pStyle w:val="1023"/>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4、采购公告内容与采购文件不一致的，以采购文件为准。</w:t>
      </w:r>
      <w:r>
        <w:rPr>
          <w:rFonts w:ascii="Times New Roman" w:hAnsi="Times New Roman" w:eastAsia="宋体" w:cs="Times New Roman"/>
          <w:color w:val="000000"/>
          <w:sz w:val="24"/>
          <w:highlight w:val="none"/>
        </w:rPr>
      </w:r>
      <w:r/>
    </w:p>
    <w:p>
      <w:pPr>
        <w:pStyle w:val="1103"/>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cs="Times New Roman"/>
          <w:b/>
          <w:color w:val="000000"/>
          <w:highlight w:val="none"/>
        </w:rPr>
        <w:t xml:space="preserve">5、电子化招投标技术支持电话：0519-85588210</w:t>
      </w:r>
      <w:r>
        <w:rPr>
          <w:rFonts w:ascii="Times New Roman" w:hAnsi="Times New Roman" w:cs="Times New Roman"/>
          <w:b/>
          <w:color w:val="000000"/>
          <w:highlight w:val="none"/>
        </w:rPr>
        <w:t xml:space="preserve">/ 0519-85588163</w:t>
      </w:r>
      <w:r>
        <w:rPr>
          <w:rFonts w:hint="eastAsia" w:ascii="Times New Roman" w:hAnsi="Times New Roman" w:cs="Times New Roman"/>
          <w:b/>
          <w:color w:val="000000"/>
          <w:highlight w:val="none"/>
          <w:lang w:eastAsia="zh-CN"/>
        </w:rPr>
        <w:t xml:space="preserve">。</w:t>
      </w:r>
      <w:r>
        <w:rPr>
          <w:rFonts w:hint="eastAsia" w:ascii="Times New Roman" w:hAnsi="Times New Roman" w:eastAsia="宋体" w:cs="Times New Roman"/>
          <w:color w:val="000000"/>
          <w:sz w:val="24"/>
          <w:highlight w:val="none"/>
          <w:lang w:val="en-US" w:eastAsia="zh-CN"/>
        </w:rPr>
      </w:r>
      <w:r/>
    </w:p>
    <w:p>
      <w:pPr>
        <w:pStyle w:val="1023"/>
        <w:ind w:firstLine="480"/>
        <w:spacing w:line="360" w:lineRule="auto"/>
        <w:rPr>
          <w:b/>
          <w:bCs/>
          <w:color w:val="000000"/>
          <w:sz w:val="24"/>
          <w:highlight w:val="none"/>
        </w:rPr>
      </w:pPr>
      <w:r/>
      <w:bookmarkEnd w:id="25"/>
      <w:r>
        <w:rPr>
          <w:rFonts w:hint="eastAsia"/>
          <w:b/>
          <w:bCs/>
          <w:color w:val="000000"/>
          <w:sz w:val="24"/>
          <w:highlight w:val="none"/>
        </w:rPr>
        <w:t xml:space="preserve">七</w:t>
      </w:r>
      <w:r>
        <w:rPr>
          <w:b/>
          <w:bCs/>
          <w:color w:val="000000"/>
          <w:sz w:val="24"/>
          <w:highlight w:val="none"/>
        </w:rPr>
        <w:t xml:space="preserve">、对本项目提出询问，请按以下方式联系。</w:t>
      </w:r>
      <w:r>
        <w:rPr>
          <w:b/>
          <w:bCs/>
          <w:color w:val="000000"/>
          <w:sz w:val="24"/>
          <w:highlight w:val="none"/>
        </w:rPr>
      </w:r>
      <w:r/>
    </w:p>
    <w:p>
      <w:pPr>
        <w:pStyle w:val="1023"/>
        <w:ind w:firstLine="482"/>
        <w:jc w:val="left"/>
        <w:spacing w:line="360" w:lineRule="auto"/>
        <w:widowControl/>
        <w:rPr>
          <w:b/>
          <w:color w:val="000000"/>
          <w:sz w:val="24"/>
          <w:highlight w:val="none"/>
        </w:rPr>
      </w:pPr>
      <w:r/>
      <w:bookmarkStart w:id="31" w:name="_Hlk149911588"/>
      <w:r>
        <w:rPr>
          <w:b/>
          <w:color w:val="000000"/>
          <w:sz w:val="24"/>
          <w:highlight w:val="none"/>
        </w:rPr>
        <w:t xml:space="preserve">1</w:t>
      </w:r>
      <w:r>
        <w:rPr>
          <w:rFonts w:hint="eastAsia"/>
          <w:b/>
          <w:color w:val="000000"/>
          <w:sz w:val="24"/>
          <w:highlight w:val="none"/>
        </w:rPr>
        <w:t xml:space="preserve">、采购人信息</w:t>
      </w:r>
      <w:r>
        <w:rPr>
          <w:b/>
          <w:color w:val="000000"/>
          <w:sz w:val="24"/>
          <w:highlight w:val="none"/>
        </w:rPr>
      </w:r>
      <w:r/>
    </w:p>
    <w:p>
      <w:pPr>
        <w:pStyle w:val="1103"/>
        <w:ind w:firstLine="480"/>
        <w:spacing w:line="360" w:lineRule="auto"/>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名    称：武进高新技术产业开发区创新发展中心</w:t>
      </w:r>
      <w:r>
        <w:rPr>
          <w:rFonts w:hint="eastAsia" w:ascii="宋体" w:hAnsi="宋体" w:eastAsia="宋体"/>
          <w:color w:val="000000"/>
          <w:highlight w:val="none"/>
          <w:lang w:val="en-US" w:eastAsia="zh-CN"/>
        </w:rPr>
      </w:r>
      <w:r/>
    </w:p>
    <w:p>
      <w:pPr>
        <w:pStyle w:val="1103"/>
        <w:ind w:firstLine="480"/>
        <w:spacing w:line="360" w:lineRule="auto"/>
        <w:rPr>
          <w:rFonts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地址： 武进区海湖路特1号</w:t>
      </w:r>
      <w:r>
        <w:rPr>
          <w:rFonts w:ascii="宋体" w:hAnsi="宋体" w:eastAsia="宋体"/>
          <w:color w:val="000000"/>
          <w:highlight w:val="none"/>
          <w:lang w:val="en-US" w:eastAsia="zh-CN"/>
        </w:rPr>
      </w:r>
      <w:r/>
    </w:p>
    <w:p>
      <w:pPr>
        <w:pStyle w:val="1103"/>
        <w:ind w:firstLine="480"/>
        <w:spacing w:line="360" w:lineRule="auto"/>
        <w:rPr>
          <w:rFonts w:hint="eastAsia" w:ascii="宋体" w:hAnsi="宋体" w:eastAsia="宋体"/>
          <w:color w:val="000000"/>
          <w:highlight w:val="none"/>
          <w:lang w:val="en-US" w:eastAsia="zh-CN"/>
        </w:rPr>
      </w:pPr>
      <w:r>
        <w:rPr>
          <w:rFonts w:hint="eastAsia" w:ascii="宋体" w:hAnsi="宋体" w:eastAsia="宋体"/>
          <w:color w:val="000000"/>
          <w:highlight w:val="none"/>
          <w:lang w:val="en-US" w:eastAsia="zh-CN"/>
        </w:rPr>
        <w:t xml:space="preserve">联系方式：0519-86220132</w:t>
      </w:r>
      <w:r>
        <w:rPr>
          <w:rFonts w:hint="eastAsia" w:ascii="宋体" w:hAnsi="宋体" w:eastAsia="宋体"/>
          <w:color w:val="000000"/>
          <w:highlight w:val="none"/>
          <w:lang w:val="en-US" w:eastAsia="zh-CN"/>
        </w:rPr>
      </w:r>
      <w:r/>
    </w:p>
    <w:p>
      <w:pPr>
        <w:pStyle w:val="1023"/>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、代理机构信息</w:t>
      </w:r>
      <w:r>
        <w:rPr>
          <w:b/>
          <w:color w:val="000000"/>
          <w:sz w:val="24"/>
          <w:highlight w:val="none"/>
        </w:rPr>
      </w:r>
      <w:r/>
    </w:p>
    <w:p>
      <w:pPr>
        <w:pStyle w:val="110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名    称：常州环宇工程项目管理有限公司</w:t>
      </w:r>
      <w:r>
        <w:rPr>
          <w:rFonts w:ascii="Times New Roman" w:hAnsi="Times New Roman" w:cs="Times New Roman"/>
          <w:bCs/>
          <w:color w:val="000000"/>
          <w:highlight w:val="none"/>
        </w:rPr>
      </w:r>
      <w:r/>
    </w:p>
    <w:p>
      <w:pPr>
        <w:pStyle w:val="110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地　址：常州市武进区延政中大道19号武房大厦4楼</w:t>
      </w:r>
      <w:r>
        <w:rPr>
          <w:rFonts w:ascii="Times New Roman" w:hAnsi="Times New Roman" w:cs="Times New Roman"/>
          <w:bCs/>
          <w:color w:val="000000"/>
          <w:highlight w:val="none"/>
        </w:rPr>
      </w:r>
      <w:r/>
    </w:p>
    <w:p>
      <w:pPr>
        <w:pStyle w:val="1103"/>
        <w:ind w:firstLine="480"/>
        <w:spacing w:line="360" w:lineRule="auto"/>
        <w:rPr>
          <w:rFonts w:ascii="Times New Roman" w:hAnsi="Times New Roman" w:cs="Times New Roman"/>
          <w:bCs/>
          <w:color w:val="000000"/>
          <w:highlight w:val="none"/>
        </w:rPr>
      </w:pPr>
      <w:r>
        <w:rPr>
          <w:rFonts w:hint="eastAsia" w:ascii="Times New Roman" w:hAnsi="Times New Roman" w:cs="Times New Roman"/>
          <w:bCs/>
          <w:color w:val="000000"/>
          <w:highlight w:val="none"/>
        </w:rPr>
        <w:t xml:space="preserve">联系方式：0519-86310937</w:t>
      </w:r>
      <w:r>
        <w:rPr>
          <w:rFonts w:ascii="Times New Roman" w:hAnsi="Times New Roman" w:cs="Times New Roman"/>
          <w:bCs/>
          <w:color w:val="000000"/>
          <w:highlight w:val="none"/>
        </w:rPr>
      </w:r>
      <w:r/>
    </w:p>
    <w:p>
      <w:pPr>
        <w:pStyle w:val="1103"/>
        <w:ind w:firstLine="480"/>
        <w:spacing w:line="360" w:lineRule="auto"/>
        <w:rPr>
          <w:rFonts w:ascii="Times New Roman" w:hAnsi="Times New Roman" w:cs="Times New Roman"/>
          <w:color w:val="000000"/>
          <w:highlight w:val="none"/>
        </w:rPr>
      </w:pPr>
      <w:r>
        <w:rPr>
          <w:rFonts w:hint="eastAsia" w:ascii="Times New Roman" w:hAnsi="Times New Roman" w:cs="Times New Roman"/>
          <w:color w:val="000000"/>
          <w:highlight w:val="none"/>
        </w:rPr>
        <w:t xml:space="preserve">3.项目联系方式</w:t>
      </w:r>
      <w:r>
        <w:rPr>
          <w:rFonts w:ascii="Times New Roman" w:hAnsi="Times New Roman" w:cs="Times New Roman"/>
          <w:color w:val="000000"/>
          <w:highlight w:val="none"/>
        </w:rPr>
      </w:r>
      <w:r/>
    </w:p>
    <w:p>
      <w:pPr>
        <w:pStyle w:val="1103"/>
        <w:ind w:firstLine="480"/>
        <w:spacing w:line="360" w:lineRule="auto"/>
        <w:rPr>
          <w:rFonts w:hint="eastAsia" w:ascii="Times New Roman" w:hAnsi="Times New Roman" w:eastAsia="宋体" w:cs="Times New Roman"/>
          <w:color w:val="000000"/>
          <w:highlight w:val="none"/>
          <w:lang w:eastAsia="zh-CN"/>
        </w:rPr>
      </w:pPr>
      <w:r>
        <w:rPr>
          <w:rFonts w:hint="eastAsia" w:ascii="Times New Roman" w:hAnsi="Times New Roman" w:cs="Times New Roman"/>
          <w:color w:val="000000"/>
          <w:highlight w:val="none"/>
        </w:rPr>
        <w:t xml:space="preserve">采购单位联系人：</w:t>
      </w:r>
      <w:r>
        <w:rPr>
          <w:rFonts w:hint="eastAsia" w:ascii="Times New Roman" w:hAnsi="Times New Roman" w:cs="Times New Roman"/>
          <w:color w:val="000000"/>
          <w:highlight w:val="none"/>
          <w:lang w:eastAsia="zh-CN"/>
        </w:rPr>
        <w:t xml:space="preserve">史先生</w:t>
      </w:r>
      <w:r>
        <w:rPr>
          <w:rFonts w:hint="eastAsia" w:ascii="Times New Roman" w:hAnsi="Times New Roman" w:eastAsia="宋体" w:cs="Times New Roman"/>
          <w:color w:val="000000"/>
          <w:highlight w:val="none"/>
          <w:lang w:eastAsia="zh-CN"/>
        </w:rPr>
      </w:r>
      <w:r/>
    </w:p>
    <w:p>
      <w:pPr>
        <w:pStyle w:val="1103"/>
        <w:ind w:firstLine="480"/>
        <w:spacing w:line="360" w:lineRule="auto"/>
        <w:rPr>
          <w:b/>
          <w:color w:val="000000"/>
          <w:sz w:val="32"/>
          <w:szCs w:val="32"/>
          <w:highlight w:val="none"/>
        </w:rPr>
      </w:pPr>
      <w:r>
        <w:rPr>
          <w:rFonts w:hint="eastAsia" w:ascii="Times New Roman" w:hAnsi="Times New Roman" w:cs="Times New Roman"/>
          <w:color w:val="000000"/>
          <w:highlight w:val="none"/>
        </w:rPr>
        <w:t xml:space="preserve">代理机构联系人：</w:t>
      </w:r>
      <w:r>
        <w:rPr>
          <w:rFonts w:hint="eastAsia" w:ascii="Times New Roman" w:hAnsi="Times New Roman" w:cs="Times New Roman"/>
          <w:color w:val="000000"/>
          <w:highlight w:val="none"/>
          <w:lang w:eastAsia="zh-CN"/>
        </w:rPr>
        <w:t xml:space="preserve">周女士</w:t>
      </w:r>
      <w:bookmarkEnd w:id="7"/>
      <w:r/>
      <w:bookmarkEnd w:id="26"/>
      <w:r/>
      <w:bookmarkEnd w:id="27"/>
      <w:r/>
      <w:bookmarkEnd w:id="28"/>
      <w:r/>
      <w:bookmarkEnd w:id="29"/>
      <w:r/>
      <w:bookmarkEnd w:id="31"/>
      <w:r/>
      <w:bookmarkStart w:id="32" w:name="_Toc127151777"/>
      <w:r/>
      <w:bookmarkStart w:id="33" w:name="_Toc265228423"/>
      <w:r/>
      <w:bookmarkStart w:id="34" w:name="_Toc127161488"/>
      <w:r/>
      <w:bookmarkStart w:id="35" w:name="_Toc264969275"/>
      <w:r/>
      <w:bookmarkStart w:id="36" w:name="_Toc226965856"/>
      <w:r/>
      <w:bookmarkStart w:id="37" w:name="_Toc150774783"/>
      <w:r/>
      <w:bookmarkStart w:id="38" w:name="_Toc353873938"/>
      <w:r/>
      <w:bookmarkStart w:id="39" w:name="_Toc353825548"/>
      <w:r/>
      <w:bookmarkStart w:id="40" w:name="_Toc195842950"/>
      <w:r/>
      <w:bookmarkStart w:id="41" w:name="_Toc305158928"/>
      <w:r/>
      <w:bookmarkStart w:id="42" w:name="_Toc305158854"/>
      <w:r/>
      <w:bookmarkStart w:id="43" w:name="_Toc99301420"/>
      <w:r/>
      <w:bookmarkStart w:id="44" w:name="_Toc512937850"/>
      <w:r>
        <w:rPr>
          <w:b/>
          <w:color w:val="000000"/>
          <w:sz w:val="36"/>
          <w:szCs w:val="36"/>
          <w:highlight w:val="none"/>
        </w:rPr>
        <w:br w:type="page" w:clear="all"/>
      </w:r>
      <w:r>
        <w:rPr>
          <w:b/>
          <w:color w:val="000000"/>
          <w:sz w:val="36"/>
          <w:szCs w:val="36"/>
          <w:highlight w:val="none"/>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color w:val="000000"/>
          <w:sz w:val="32"/>
          <w:szCs w:val="32"/>
          <w:highlight w:val="none"/>
        </w:rPr>
      </w:r>
      <w:r/>
    </w:p>
    <w:p>
      <w:pPr>
        <w:pStyle w:val="1025"/>
        <w:spacing w:before="0" w:line="360" w:lineRule="auto"/>
        <w:tabs>
          <w:tab w:val="center" w:pos="4592" w:leader="none"/>
          <w:tab w:val="left" w:pos="7860" w:leader="none"/>
          <w:tab w:val="right" w:pos="8937" w:leader="dot"/>
        </w:tabs>
        <w:rPr>
          <w:rFonts w:ascii="Times New Roman" w:hAnsi="Times New Roman" w:eastAsia="宋体"/>
          <w:color w:val="000000"/>
          <w:sz w:val="32"/>
          <w:szCs w:val="32"/>
          <w:highlight w:val="none"/>
        </w:rPr>
      </w:pPr>
      <w:r/>
      <w:bookmarkStart w:id="45" w:name="_Toc164608633"/>
      <w:r/>
      <w:bookmarkStart w:id="46" w:name="_Toc127161433"/>
      <w:r/>
      <w:bookmarkStart w:id="47" w:name="_Toc149720812"/>
      <w:r/>
      <w:bookmarkStart w:id="48" w:name="_Toc151193907"/>
      <w:r/>
      <w:bookmarkStart w:id="49" w:name="_Toc226965709"/>
      <w:r/>
      <w:bookmarkStart w:id="50" w:name="_Toc127151720"/>
      <w:r/>
      <w:bookmarkStart w:id="51" w:name="_Toc150774619"/>
      <w:r/>
      <w:bookmarkStart w:id="52" w:name="_Toc164229214"/>
      <w:r/>
      <w:bookmarkStart w:id="53" w:name="_Toc142311021"/>
      <w:r/>
      <w:bookmarkStart w:id="54" w:name="_Toc226965792"/>
      <w:r/>
      <w:bookmarkStart w:id="55" w:name="_Toc151193689"/>
      <w:r/>
      <w:bookmarkStart w:id="56" w:name="_Toc151193617"/>
      <w:r/>
      <w:bookmarkStart w:id="57" w:name="_Toc151193761"/>
      <w:r/>
      <w:bookmarkStart w:id="58" w:name="_Toc151190146"/>
      <w:r/>
      <w:bookmarkStart w:id="59" w:name="_Toc127151519"/>
      <w:r/>
      <w:bookmarkStart w:id="60" w:name="_Toc195842884"/>
      <w:r/>
      <w:bookmarkStart w:id="61" w:name="_Toc520356144"/>
      <w:r/>
      <w:bookmarkStart w:id="62" w:name="_Toc150480757"/>
      <w:r/>
      <w:bookmarkStart w:id="63" w:name="_Toc226309763"/>
      <w:r/>
      <w:bookmarkStart w:id="64" w:name="_Toc164229360"/>
      <w:r/>
      <w:bookmarkStart w:id="65" w:name="_Toc164351613"/>
      <w:r/>
      <w:bookmarkStart w:id="66" w:name="_Toc164608788"/>
      <w:r/>
      <w:bookmarkStart w:id="67" w:name="_Toc150774724"/>
      <w:r/>
      <w:bookmarkStart w:id="68" w:name="_Toc150509270"/>
      <w:r/>
      <w:bookmarkStart w:id="69" w:name="_Toc226337215"/>
      <w:r/>
      <w:bookmarkStart w:id="70" w:name="_Toc151193833"/>
      <w:r>
        <w:rPr>
          <w:rFonts w:ascii="Times New Roman" w:hAnsi="Times New Roman" w:eastAsia="宋体"/>
          <w:color w:val="000000"/>
          <w:sz w:val="32"/>
          <w:szCs w:val="32"/>
          <w:highlight w:val="none"/>
        </w:rPr>
        <w:t xml:space="preserve">第一节</w:t>
      </w:r>
      <w:r>
        <w:rPr>
          <w:rFonts w:hint="eastAsia" w:ascii="Times New Roman" w:hAnsi="Times New Roman" w:eastAsia="宋体"/>
          <w:color w:val="000000"/>
          <w:sz w:val="32"/>
          <w:szCs w:val="32"/>
          <w:highlight w:val="none"/>
        </w:rPr>
        <w:t xml:space="preserve"> </w:t>
      </w:r>
      <w:r>
        <w:rPr>
          <w:rFonts w:ascii="Times New Roman" w:hAnsi="Times New Roman" w:eastAsia="宋体"/>
          <w:color w:val="000000"/>
          <w:sz w:val="32"/>
          <w:szCs w:val="32"/>
          <w:highlight w:val="none"/>
        </w:rPr>
        <w:t xml:space="preserve">投标人须知资料表</w:t>
      </w:r>
      <w:r>
        <w:rPr>
          <w:rFonts w:ascii="Times New Roman" w:hAnsi="Times New Roman" w:eastAsia="宋体"/>
          <w:color w:val="000000"/>
          <w:sz w:val="32"/>
          <w:szCs w:val="32"/>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23"/>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1023"/>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540" w:type="dxa"/>
            <w:vAlign w:val="center"/>
            <w:textDirection w:val="lrTb"/>
            <w:noWrap w:val="false"/>
          </w:tcPr>
          <w:p>
            <w:pPr>
              <w:pStyle w:val="1023"/>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681"/>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lang w:eastAsia="zh-CN"/>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u w:val="single"/>
              </w:rPr>
            </w:r>
            <w:r/>
          </w:p>
        </w:tc>
      </w:tr>
      <w:tr>
        <w:trPr>
          <w:trHeight w:val="806"/>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720"/>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核心产品</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rFonts w:ascii="Times New Roman" w:hAnsi="Times New Roman"/>
                <w:color w:val="000000"/>
                <w:sz w:val="24"/>
                <w:szCs w:val="24"/>
                <w:highlight w:val="none"/>
              </w:rPr>
              <w:t xml:space="preserve">关于核心产品本项目</w:t>
            </w:r>
            <w:r>
              <w:rPr>
                <w:rFonts w:ascii="Times New Roman" w:hAnsi="Times New Roman"/>
                <w:color w:val="000000"/>
                <w:sz w:val="24"/>
                <w:szCs w:val="24"/>
                <w:highlight w:val="none"/>
              </w:rPr>
              <w:t xml:space="preserve">：</w:t>
            </w:r>
            <w:r>
              <w:rPr>
                <w:rFonts w:ascii="Times New Roman" w:hAnsi="Times New Roman"/>
                <w:color w:val="000000"/>
                <w:sz w:val="24"/>
                <w:szCs w:val="24"/>
                <w:highlight w:val="none"/>
              </w:rPr>
              <w:t xml:space="preserve">不适用。</w:t>
            </w:r>
            <w:r>
              <w:rPr>
                <w:color w:val="000000"/>
                <w:sz w:val="24"/>
                <w:highlight w:val="none"/>
              </w:rPr>
            </w:r>
            <w:r/>
          </w:p>
        </w:tc>
      </w:tr>
      <w:tr>
        <w:trPr>
          <w:trHeight w:val="556"/>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540" w:type="dxa"/>
            <w:vAlign w:val="center"/>
            <w:textDirection w:val="lrTb"/>
            <w:noWrap w:val="false"/>
          </w:tcPr>
          <w:p>
            <w:pPr>
              <w:pStyle w:val="1023"/>
              <w:jc w:val="left"/>
              <w:spacing w:line="360" w:lineRule="exact"/>
              <w:rPr>
                <w:rFonts w:hint="eastAsia"/>
                <w:color w:val="000000"/>
                <w:sz w:val="24"/>
                <w:highlight w:val="none"/>
              </w:rPr>
            </w:pPr>
            <w:r>
              <w:rPr>
                <w:color w:val="000000"/>
                <w:sz w:val="24"/>
                <w:highlight w:val="none"/>
              </w:rPr>
              <w:t xml:space="preserve">不组织</w:t>
            </w:r>
            <w:r>
              <w:rPr>
                <w:rFonts w:hint="eastAsia"/>
                <w:color w:val="000000"/>
                <w:sz w:val="24"/>
                <w:highlight w:val="none"/>
              </w:rPr>
            </w:r>
            <w:r/>
          </w:p>
        </w:tc>
      </w:tr>
      <w:tr>
        <w:trPr>
          <w:trHeight w:val="748"/>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开标前答疑会</w:t>
            </w:r>
            <w:r>
              <w:rPr>
                <w:color w:val="000000"/>
                <w:sz w:val="24"/>
                <w:highlight w:val="none"/>
              </w:rPr>
            </w:r>
            <w:r/>
          </w:p>
        </w:tc>
        <w:tc>
          <w:tcPr>
            <w:tcW w:w="7540" w:type="dxa"/>
            <w:vAlign w:val="center"/>
            <w:textDirection w:val="lrTb"/>
            <w:noWrap w:val="false"/>
          </w:tcPr>
          <w:p>
            <w:pPr>
              <w:pStyle w:val="1023"/>
              <w:jc w:val="left"/>
              <w:spacing w:line="360" w:lineRule="exact"/>
              <w:rPr>
                <w:rFonts w:hint="eastAsia"/>
                <w:color w:val="000000"/>
                <w:sz w:val="24"/>
                <w:highlight w:val="none"/>
              </w:rPr>
            </w:pPr>
            <w:r>
              <w:rPr>
                <w:color w:val="000000"/>
                <w:sz w:val="24"/>
                <w:highlight w:val="none"/>
              </w:rPr>
              <w:t xml:space="preserve">不召开</w:t>
            </w:r>
            <w:r>
              <w:rPr>
                <w:rFonts w:hint="eastAsia"/>
                <w:color w:val="000000"/>
                <w:sz w:val="24"/>
                <w:highlight w:val="none"/>
              </w:rPr>
            </w:r>
            <w:r/>
          </w:p>
        </w:tc>
      </w:tr>
      <w:tr>
        <w:trPr>
          <w:trHeight w:val="676"/>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540" w:type="dxa"/>
            <w:vAlign w:val="center"/>
            <w:textDirection w:val="lrTb"/>
            <w:noWrap w:val="false"/>
          </w:tcPr>
          <w:p>
            <w:pPr>
              <w:pStyle w:val="1023"/>
              <w:jc w:val="left"/>
              <w:spacing w:line="360" w:lineRule="exact"/>
              <w:rPr>
                <w:rFonts w:hint="eastAsia"/>
                <w:color w:val="000000"/>
                <w:sz w:val="24"/>
                <w:highlight w:val="none"/>
              </w:rPr>
            </w:pPr>
            <w:r>
              <w:rPr>
                <w:color w:val="000000"/>
                <w:sz w:val="24"/>
                <w:highlight w:val="none"/>
              </w:rPr>
              <w:t xml:space="preserve">投标样品递交：不需要</w:t>
            </w:r>
            <w:r>
              <w:rPr>
                <w:rFonts w:hint="eastAsia"/>
                <w:color w:val="000000"/>
                <w:sz w:val="24"/>
                <w:highlight w:val="none"/>
              </w:rPr>
            </w:r>
            <w:r/>
          </w:p>
        </w:tc>
      </w:tr>
      <w:tr>
        <w:trPr>
          <w:trHeight w:val="985"/>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7</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是否专门面向中小企业</w:t>
            </w:r>
            <w:r>
              <w:rPr>
                <w:rFonts w:ascii="Times New Roman" w:hAnsi="Times New Roman" w:eastAsia="宋体" w:cs="Times New Roman"/>
                <w:color w:val="000000"/>
                <w:sz w:val="24"/>
                <w:highlight w:val="none"/>
              </w:rPr>
            </w:r>
            <w:r/>
          </w:p>
        </w:tc>
        <w:tc>
          <w:tcPr>
            <w:tcW w:w="7540" w:type="dxa"/>
            <w:vAlign w:val="center"/>
            <w:textDirection w:val="lrTb"/>
            <w:noWrap w:val="false"/>
          </w:tcPr>
          <w:p>
            <w:pPr>
              <w:pStyle w:val="1023"/>
              <w:jc w:val="left"/>
              <w:spacing w:line="360" w:lineRule="exac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本项目不专门面向中小企业采购，对于符合规定的小、微企业报价给予</w:t>
            </w:r>
            <w:r>
              <w:rPr>
                <w:rFonts w:hint="eastAsia" w:ascii="Times New Roman" w:hAnsi="Times New Roman" w:eastAsia="宋体" w:cs="Times New Roman"/>
                <w:color w:val="000000"/>
                <w:sz w:val="24"/>
                <w:highlight w:val="none"/>
                <w:lang w:val="en-US" w:eastAsia="zh-CN"/>
              </w:rPr>
              <w:t xml:space="preserve">20</w:t>
            </w:r>
            <w:r>
              <w:rPr>
                <w:rFonts w:hint="eastAsia" w:ascii="Times New Roman" w:hAnsi="Times New Roman" w:eastAsia="宋体" w:cs="Times New Roman"/>
                <w:color w:val="000000"/>
                <w:sz w:val="24"/>
                <w:highlight w:val="none"/>
              </w:rPr>
              <w:t xml:space="preserve">%的扣除，用扣除后的价格参与评审。</w:t>
            </w:r>
            <w:r>
              <w:rPr>
                <w:rFonts w:hint="eastAsia" w:ascii="Times New Roman" w:hAnsi="Times New Roman" w:eastAsia="宋体" w:cs="Times New Roman"/>
                <w:color w:val="000000"/>
                <w:sz w:val="24"/>
                <w:highlight w:val="none"/>
              </w:rPr>
            </w:r>
            <w:r/>
          </w:p>
        </w:tc>
      </w:tr>
      <w:tr>
        <w:trPr>
          <w:trHeight w:val="2146"/>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8</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rFonts w:hint="eastAsia"/>
                <w:color w:val="000000"/>
                <w:sz w:val="24"/>
                <w:highlight w:val="none"/>
              </w:rPr>
              <w:t xml:space="preserve">本项目属于</w:t>
            </w:r>
            <w:r>
              <w:rPr>
                <w:rFonts w:hint="eastAsia"/>
                <w:b/>
                <w:color w:val="000000"/>
                <w:sz w:val="24"/>
                <w:highlight w:val="none"/>
                <w:u w:val="single"/>
              </w:rPr>
              <w:t xml:space="preserve"> 服务类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color w:val="000000"/>
                <w:sz w:val="24"/>
                <w:highlight w:val="none"/>
                <w:u w:val="single"/>
              </w:rPr>
              <w:t xml:space="preserve">其他未列明行业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w:t>
            </w:r>
            <w:r>
              <w:rPr>
                <w:rFonts w:hint="eastAsia"/>
                <w:color w:val="000000"/>
                <w:sz w:val="24"/>
                <w:highlight w:val="none"/>
                <w:lang w:val="en-US" w:eastAsia="zh-CN"/>
              </w:rPr>
              <w:t xml:space="preserve">/小微</w:t>
            </w:r>
            <w:r>
              <w:rPr>
                <w:rFonts w:hint="eastAsia"/>
                <w:color w:val="000000"/>
                <w:sz w:val="24"/>
                <w:highlight w:val="none"/>
              </w:rPr>
              <w:t xml:space="preserve">企业采购）或报价不作相应扣除。</w:t>
            </w:r>
            <w:r>
              <w:rPr>
                <w:color w:val="000000"/>
                <w:sz w:val="24"/>
                <w:highlight w:val="none"/>
              </w:rPr>
            </w:r>
            <w:r/>
          </w:p>
        </w:tc>
      </w:tr>
      <w:tr>
        <w:trPr>
          <w:trHeight w:val="1571"/>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lang w:val="en-US" w:eastAsia="zh-CN" w:bidi="ar-SA"/>
              </w:rPr>
            </w:pPr>
            <w:r>
              <w:rPr>
                <w:color w:val="000000"/>
                <w:highlight w:val="none"/>
              </w:rPr>
              <w:br w:type="page" w:clear="all"/>
            </w:r>
            <w:r>
              <w:rPr>
                <w:rFonts w:ascii="Times New Roman" w:hAnsi="Times New Roman"/>
                <w:color w:val="000000"/>
                <w:sz w:val="24"/>
                <w:szCs w:val="24"/>
                <w:highlight w:val="none"/>
              </w:rPr>
              <w:t xml:space="preserve">9</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3"/>
              <w:jc w:val="center"/>
              <w:spacing w:line="360" w:lineRule="exact"/>
              <w:rPr>
                <w:rFonts w:ascii="宋体" w:hAnsi="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ascii="宋体" w:hAnsi="宋体"/>
                <w:color w:val="000000"/>
                <w:sz w:val="24"/>
                <w:szCs w:val="24"/>
                <w:highlight w:val="none"/>
                <w:lang w:val="en-US" w:eastAsia="zh-CN" w:bidi="ar-SA"/>
              </w:rPr>
            </w:r>
            <w:r/>
          </w:p>
        </w:tc>
        <w:tc>
          <w:tcPr>
            <w:tcW w:w="7540" w:type="dxa"/>
            <w:vAlign w:val="center"/>
            <w:textDirection w:val="lrTb"/>
            <w:noWrap w:val="false"/>
          </w:tcPr>
          <w:p>
            <w:pPr>
              <w:pStyle w:val="1023"/>
              <w:jc w:val="left"/>
              <w:spacing w:line="360" w:lineRule="exac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1023"/>
              <w:jc w:val="left"/>
              <w:spacing w:line="360" w:lineRule="exact"/>
              <w:rPr>
                <w:rFonts w:hint="eastAsia" w:ascii="Wingdings 2" w:hAnsi="Wingdings 2" w:eastAsia="宋体" w:cs="Wingdings 2"/>
                <w:color w:val="000000"/>
                <w:sz w:val="24"/>
                <w:szCs w:val="24"/>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Wingdings 2" w:hAnsi="Wingdings 2" w:eastAsia="宋体" w:cs="Wingdings 2"/>
                <w:color w:val="000000"/>
                <w:sz w:val="24"/>
                <w:szCs w:val="24"/>
                <w:highlight w:val="none"/>
                <w:lang w:val="en-US" w:eastAsia="zh-CN" w:bidi="ar-SA"/>
              </w:rPr>
            </w:r>
            <w:r/>
          </w:p>
        </w:tc>
      </w:tr>
      <w:tr>
        <w:trPr>
          <w:trHeight w:val="1008"/>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10</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投标有效期</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color w:val="000000"/>
                <w:sz w:val="24"/>
                <w:highlight w:val="none"/>
              </w:rPr>
              <w:t xml:space="preserve">自提交投标文件的截止之日起算</w:t>
            </w:r>
            <w:r>
              <w:rPr>
                <w:color w:val="000000"/>
                <w:sz w:val="24"/>
                <w:highlight w:val="none"/>
                <w:u w:val="single"/>
              </w:rPr>
              <w:t xml:space="preserve">60</w:t>
            </w:r>
            <w:r>
              <w:rPr>
                <w:color w:val="000000"/>
                <w:sz w:val="24"/>
                <w:highlight w:val="none"/>
              </w:rPr>
              <w:t xml:space="preserve">日历天。</w:t>
            </w:r>
            <w:r>
              <w:rPr>
                <w:color w:val="000000"/>
                <w:sz w:val="24"/>
                <w:highlight w:val="none"/>
              </w:rPr>
            </w:r>
            <w:r/>
          </w:p>
        </w:tc>
      </w:tr>
      <w:tr>
        <w:trPr>
          <w:trHeight w:val="955"/>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11</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540" w:type="dxa"/>
            <w:vAlign w:val="center"/>
            <w:textDirection w:val="lrTb"/>
            <w:noWrap w:val="false"/>
          </w:tcPr>
          <w:p>
            <w:pPr>
              <w:pStyle w:val="1023"/>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rPr>
                <w:rFonts w:hint="eastAsia"/>
                <w:color w:val="000000"/>
                <w:sz w:val="24"/>
                <w:highlight w:val="none"/>
              </w:rPr>
            </w:r>
            <w:r/>
          </w:p>
        </w:tc>
      </w:tr>
      <w:tr>
        <w:trPr>
          <w:trHeight w:val="2390"/>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12</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rFonts w:hint="eastAsia"/>
                <w:color w:val="000000"/>
                <w:sz w:val="24"/>
                <w:highlight w:val="none"/>
              </w:rPr>
              <w:t xml:space="preserve">已登记参加本项目的供应商对招标文件如有疑问，可于</w:t>
            </w:r>
            <w:r>
              <w:rPr>
                <w:rFonts w:hint="eastAsia"/>
                <w:color w:val="000000"/>
                <w:sz w:val="24"/>
                <w:highlight w:val="none"/>
                <w:lang w:eastAsia="zh-CN"/>
              </w:rPr>
              <w:t xml:space="preserve">202</w:t>
            </w:r>
            <w:r>
              <w:rPr>
                <w:rFonts w:hint="eastAsia"/>
                <w:color w:val="000000"/>
                <w:sz w:val="24"/>
                <w:highlight w:val="none"/>
                <w:lang w:val="en-US" w:eastAsia="zh-CN"/>
              </w:rPr>
              <w:t xml:space="preserve">6</w:t>
            </w:r>
            <w:r>
              <w:rPr>
                <w:rFonts w:hint="eastAsia"/>
                <w:color w:val="000000"/>
                <w:sz w:val="24"/>
                <w:highlight w:val="none"/>
                <w:lang w:eastAsia="zh-CN"/>
              </w:rPr>
              <w:t xml:space="preserve">年</w:t>
            </w:r>
            <w:r>
              <w:rPr>
                <w:rFonts w:hint="eastAsia"/>
                <w:color w:val="000000"/>
                <w:sz w:val="24"/>
                <w:highlight w:val="none"/>
                <w:lang w:val="en-US" w:eastAsia="zh-CN"/>
              </w:rPr>
              <w:t xml:space="preserve">1</w:t>
            </w:r>
            <w:r>
              <w:rPr>
                <w:color w:val="000000"/>
                <w:sz w:val="24"/>
                <w:highlight w:val="none"/>
              </w:rPr>
              <w:t xml:space="preserve">月</w:t>
            </w:r>
            <w:r>
              <w:rPr>
                <w:rFonts w:hint="eastAsia"/>
                <w:color w:val="000000"/>
                <w:sz w:val="24"/>
                <w:highlight w:val="none"/>
                <w:lang w:val="en-US" w:eastAsia="zh-CN"/>
              </w:rPr>
              <w:t xml:space="preserve">13</w:t>
            </w:r>
            <w:r>
              <w:rPr>
                <w:color w:val="000000"/>
                <w:sz w:val="24"/>
                <w:highlight w:val="none"/>
              </w:rPr>
              <w:t xml:space="preserve">日17</w:t>
            </w:r>
            <w:r>
              <w:rPr>
                <w:rFonts w:hint="eastAsia"/>
                <w:color w:val="000000"/>
                <w:sz w:val="24"/>
                <w:highlight w:val="none"/>
              </w:rPr>
              <w:t xml:space="preserve">:</w:t>
            </w:r>
            <w:r>
              <w:rPr>
                <w:color w:val="000000"/>
                <w:sz w:val="24"/>
                <w:highlight w:val="none"/>
              </w:rPr>
              <w:t xml:space="preserve">00</w:t>
            </w:r>
            <w:r>
              <w:rPr>
                <w:rFonts w:hint="eastAsia"/>
                <w:color w:val="000000"/>
                <w:sz w:val="24"/>
                <w:highlight w:val="none"/>
              </w:rPr>
              <w:t xml:space="preserve">前将</w:t>
            </w:r>
            <w:r>
              <w:rPr>
                <w:rFonts w:hint="eastAsia" w:ascii="Times New Roman" w:hAnsi="Times New Roman" w:eastAsia="宋体" w:cs="Times New Roman"/>
                <w:color w:val="000000"/>
                <w:sz w:val="24"/>
                <w:highlight w:val="none"/>
              </w:rPr>
              <w:t xml:space="preserve">相关疑问（格式详见招标文件中“关于招标文件的询问内容”）发送至邮箱（</w:t>
            </w:r>
            <w:r>
              <w:rPr>
                <w:rFonts w:hint="eastAsia" w:ascii="Times New Roman" w:hAnsi="Times New Roman" w:eastAsia="宋体" w:cs="Times New Roman"/>
                <w:color w:val="000000"/>
                <w:sz w:val="24"/>
                <w:highlight w:val="none"/>
                <w:lang w:val="en-US" w:eastAsia="zh-CN"/>
              </w:rPr>
              <w:t xml:space="preserve">493823775</w:t>
            </w:r>
            <w:r>
              <w:rPr>
                <w:rFonts w:hint="eastAsia"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qq</w:t>
            </w:r>
            <w:r>
              <w:rPr>
                <w:rFonts w:hint="eastAsia" w:ascii="Times New Roman" w:hAnsi="Times New Roman" w:eastAsia="宋体" w:cs="Times New Roman"/>
                <w:color w:val="000000"/>
                <w:sz w:val="24"/>
                <w:highlight w:val="none"/>
              </w:rPr>
              <w:t xml:space="preserve">.com）进行咨询，如口头可解释的问题亦可电话咨询采购人。未提出疑问将被视为完全认同招标文件，逾期将不接受其对于采购文件的相关异议。如</w:t>
            </w:r>
            <w:r>
              <w:rPr>
                <w:rFonts w:hint="eastAsia"/>
                <w:color w:val="000000"/>
                <w:sz w:val="24"/>
                <w:highlight w:val="none"/>
              </w:rPr>
              <w:t xml:space="preserve">有变更，更正公告将会在常州市政府采购网公布。</w:t>
            </w:r>
            <w:r>
              <w:rPr>
                <w:color w:val="000000"/>
                <w:sz w:val="24"/>
                <w:highlight w:val="none"/>
              </w:rPr>
            </w:r>
            <w:r/>
          </w:p>
        </w:tc>
      </w:tr>
      <w:tr>
        <w:trPr>
          <w:trHeight w:val="90"/>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lang w:val="en-US" w:eastAsia="zh-CN" w:bidi="ar-SA"/>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t xml:space="preserve">3</w:t>
            </w:r>
            <w:r>
              <w:rPr>
                <w:rFonts w:ascii="Times New Roman" w:hAnsi="Times New Roman"/>
                <w:color w:val="000000"/>
                <w:sz w:val="24"/>
                <w:szCs w:val="24"/>
                <w:highlight w:val="none"/>
                <w:lang w:val="en-US" w:eastAsia="zh-CN" w:bidi="ar-SA"/>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1103"/>
              <w:spacing w:line="360" w:lineRule="exact"/>
              <w:rPr>
                <w:color w:val="000000"/>
                <w:highlight w:val="none"/>
              </w:rPr>
            </w:pPr>
            <w:r>
              <w:rPr>
                <w:color w:val="000000"/>
                <w:highlight w:val="none"/>
              </w:rPr>
              <w:t xml:space="preserve">（）采购人联系电话、通讯地址详见《第一章投标邀请》。</w:t>
            </w:r>
            <w:r>
              <w:rPr>
                <w:color w:val="000000"/>
                <w:highlight w:val="none"/>
              </w:rPr>
            </w:r>
            <w:r/>
          </w:p>
          <w:p>
            <w:pPr>
              <w:pStyle w:val="1023"/>
              <w:jc w:val="left"/>
              <w:spacing w:line="360" w:lineRule="exact"/>
              <w:rPr>
                <w:rFonts w:hint="eastAsia" w:eastAsia="宋体"/>
                <w:color w:val="000000"/>
                <w:sz w:val="24"/>
                <w:highlight w:val="none"/>
                <w:lang w:eastAsia="zh-CN"/>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w:t>
            </w:r>
            <w:r>
              <w:rPr>
                <w:rFonts w:hint="eastAsia"/>
                <w:color w:val="000000"/>
                <w:sz w:val="24"/>
                <w:highlight w:val="none"/>
                <w:lang w:eastAsia="zh-CN"/>
              </w:rPr>
              <w:t xml:space="preserve">常州环宇工程项目管理有限公司</w:t>
            </w:r>
            <w:r>
              <w:rPr>
                <w:rFonts w:hint="eastAsia" w:eastAsia="宋体"/>
                <w:color w:val="000000"/>
                <w:sz w:val="24"/>
                <w:highlight w:val="none"/>
                <w:lang w:eastAsia="zh-CN"/>
              </w:rPr>
            </w:r>
            <w:r/>
          </w:p>
          <w:p>
            <w:pPr>
              <w:pStyle w:val="1023"/>
              <w:ind w:firstLine="480"/>
              <w:jc w:val="left"/>
              <w:spacing w:line="36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w:t>
            </w:r>
            <w:r>
              <w:rPr>
                <w:rFonts w:hint="eastAsia"/>
                <w:color w:val="000000"/>
                <w:sz w:val="24"/>
                <w:highlight w:val="none"/>
                <w:lang w:val="en-US" w:eastAsia="zh-CN"/>
              </w:rPr>
              <w:t xml:space="preserve">6310937</w:t>
            </w:r>
            <w:r>
              <w:rPr>
                <w:color w:val="000000"/>
                <w:sz w:val="24"/>
                <w:highlight w:val="none"/>
              </w:rPr>
              <w:t xml:space="preserve">；</w:t>
            </w:r>
            <w:r>
              <w:rPr>
                <w:color w:val="000000"/>
                <w:sz w:val="24"/>
                <w:highlight w:val="none"/>
              </w:rPr>
            </w:r>
            <w:r/>
          </w:p>
          <w:p>
            <w:pPr>
              <w:pStyle w:val="1023"/>
              <w:ind w:firstLine="480"/>
              <w:jc w:val="left"/>
              <w:spacing w:line="360" w:lineRule="exact"/>
              <w:rPr>
                <w:color w:val="000000"/>
                <w:sz w:val="24"/>
                <w:highlight w:val="none"/>
              </w:rPr>
            </w:pPr>
            <w:r>
              <w:rPr>
                <w:color w:val="000000"/>
                <w:sz w:val="24"/>
                <w:highlight w:val="none"/>
              </w:rPr>
              <w:t xml:space="preserve">通讯地址：</w:t>
            </w:r>
            <w:r>
              <w:rPr>
                <w:rFonts w:hint="eastAsia" w:ascii="宋体" w:hAnsi="宋体" w:cs="宋体"/>
                <w:color w:val="000000"/>
                <w:sz w:val="24"/>
                <w:highlight w:val="none"/>
              </w:rPr>
              <w:t xml:space="preserve">常州市武进区延政中大道19号武房大厦4楼</w:t>
            </w:r>
            <w:r>
              <w:rPr>
                <w:color w:val="000000"/>
                <w:sz w:val="24"/>
                <w:highlight w:val="none"/>
              </w:rPr>
              <w:t xml:space="preserve">。</w:t>
            </w:r>
            <w:r>
              <w:rPr>
                <w:color w:val="000000"/>
                <w:sz w:val="24"/>
                <w:highlight w:val="none"/>
              </w:rPr>
            </w:r>
            <w:r/>
          </w:p>
        </w:tc>
      </w:tr>
      <w:tr>
        <w:trPr>
          <w:trHeight w:val="1764"/>
        </w:trPr>
        <w:tc>
          <w:tcPr>
            <w:tcW w:w="988" w:type="dxa"/>
            <w:vAlign w:val="center"/>
            <w:textDirection w:val="lrTb"/>
            <w:noWrap w:val="false"/>
          </w:tcPr>
          <w:p>
            <w:pPr>
              <w:pStyle w:val="1062"/>
              <w:jc w:val="center"/>
              <w:spacing w:line="360" w:lineRule="exact"/>
              <w:rPr>
                <w:rFonts w:ascii="Times New Roman" w:hAnsi="Times New Roman"/>
                <w:color w:val="000000"/>
                <w:sz w:val="24"/>
                <w:szCs w:val="24"/>
                <w:highlight w:val="none"/>
              </w:rPr>
            </w:pPr>
            <w:r>
              <w:rPr>
                <w:rFonts w:hint="eastAsia" w:ascii="Times New Roman" w:hAnsi="Times New Roman"/>
                <w:color w:val="000000"/>
                <w:sz w:val="24"/>
                <w:szCs w:val="24"/>
                <w:highlight w:val="none"/>
                <w:lang w:val="en-US" w:eastAsia="zh-CN"/>
              </w:rPr>
              <w:t xml:space="preserve">14</w:t>
            </w:r>
            <w:r>
              <w:rPr>
                <w:rFonts w:ascii="Times New Roman" w:hAnsi="Times New Roman"/>
                <w:color w:val="000000"/>
                <w:sz w:val="24"/>
                <w:szCs w:val="24"/>
                <w:highlight w:val="none"/>
              </w:rPr>
            </w:r>
            <w:r/>
          </w:p>
        </w:tc>
        <w:tc>
          <w:tcPr>
            <w:tcW w:w="1701" w:type="dxa"/>
            <w:vAlign w:val="center"/>
            <w:textDirection w:val="lrTb"/>
            <w:noWrap w:val="false"/>
          </w:tcPr>
          <w:p>
            <w:pPr>
              <w:pStyle w:val="1023"/>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中标（成交）单位在签订合同前需递交与电子响应文件内容一致的纸质响应文件两份（需打印清晰，标注目录及页码），作为项目归档使用。（递交方式可采用邮寄或现场送达</w:t>
            </w:r>
            <w:r>
              <w:rPr>
                <w:rFonts w:hint="eastAsia"/>
                <w:color w:val="000000"/>
                <w:sz w:val="24"/>
                <w:highlight w:val="none"/>
                <w:lang w:eastAsia="zh-CN"/>
              </w:rPr>
              <w:t xml:space="preserve">，</w:t>
            </w:r>
            <w:r>
              <w:rPr>
                <w:rFonts w:hint="eastAsia"/>
                <w:color w:val="000000"/>
                <w:sz w:val="24"/>
                <w:highlight w:val="none"/>
              </w:rPr>
              <w:t xml:space="preserve">常州环宇工程项目管理有限公司和采购人各一份，联系方式见《第一章 采购邀请》）</w:t>
            </w:r>
            <w:r>
              <w:rPr>
                <w:color w:val="000000"/>
                <w:sz w:val="24"/>
                <w:highlight w:val="none"/>
              </w:rPr>
            </w:r>
            <w:r/>
          </w:p>
        </w:tc>
      </w:tr>
      <w:tr>
        <w:trPr>
          <w:trHeight w:val="3105"/>
        </w:trPr>
        <w:tc>
          <w:tcPr>
            <w:tcW w:w="988" w:type="dxa"/>
            <w:vAlign w:val="center"/>
            <w:textDirection w:val="lrTb"/>
            <w:noWrap w:val="false"/>
          </w:tcPr>
          <w:p>
            <w:pPr>
              <w:pStyle w:val="1062"/>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eastAsia="宋体"/>
                <w:color w:val="000000"/>
                <w:sz w:val="24"/>
                <w:szCs w:val="24"/>
                <w:highlight w:val="none"/>
                <w:lang w:val="en-US" w:eastAsia="zh-CN"/>
              </w:rPr>
              <w:t xml:space="preserve">15</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1023"/>
              <w:jc w:val="center"/>
              <w:spacing w:line="360" w:lineRule="exact"/>
              <w:rPr>
                <w:color w:val="000000"/>
                <w:sz w:val="24"/>
                <w:highlight w:val="none"/>
              </w:rPr>
            </w:pPr>
            <w:r>
              <w:rPr>
                <w:rFonts w:hint="eastAsia"/>
                <w:color w:val="000000"/>
                <w:sz w:val="24"/>
                <w:highlight w:val="none"/>
              </w:rPr>
              <w:t xml:space="preserve">成交服务费</w:t>
            </w:r>
            <w:r>
              <w:rPr>
                <w:color w:val="000000"/>
                <w:sz w:val="24"/>
                <w:highlight w:val="none"/>
              </w:rPr>
            </w:r>
            <w:r/>
          </w:p>
        </w:tc>
        <w:tc>
          <w:tcPr>
            <w:tcW w:w="7540" w:type="dxa"/>
            <w:vAlign w:val="center"/>
            <w:textDirection w:val="lrTb"/>
            <w:noWrap w:val="false"/>
          </w:tcPr>
          <w:p>
            <w:pPr>
              <w:pStyle w:val="1023"/>
              <w:jc w:val="left"/>
              <w:spacing w:line="360" w:lineRule="exact"/>
              <w:rPr>
                <w:color w:val="000000"/>
                <w:sz w:val="24"/>
                <w:highlight w:val="none"/>
              </w:rPr>
            </w:pPr>
            <w:r>
              <w:rPr>
                <w:rFonts w:hint="eastAsia"/>
                <w:color w:val="000000"/>
                <w:sz w:val="24"/>
                <w:highlight w:val="none"/>
              </w:rPr>
              <w:t xml:space="preserve">（1）本项目成交服务费由采购人支付。</w:t>
            </w:r>
            <w:r>
              <w:rPr>
                <w:color w:val="000000"/>
                <w:sz w:val="24"/>
                <w:highlight w:val="none"/>
              </w:rPr>
            </w:r>
            <w:r/>
          </w:p>
          <w:p>
            <w:pPr>
              <w:pStyle w:val="1023"/>
              <w:jc w:val="left"/>
              <w:spacing w:line="360" w:lineRule="exact"/>
              <w:rPr>
                <w:color w:val="000000"/>
                <w:highlight w:val="none"/>
              </w:rPr>
            </w:pPr>
            <w:r>
              <w:rPr>
                <w:rFonts w:hint="eastAsia"/>
                <w:color w:val="000000"/>
                <w:sz w:val="24"/>
                <w:highlight w:val="none"/>
              </w:rPr>
              <w:t xml:space="preserve">（2）</w:t>
            </w:r>
            <w:r>
              <w:rPr>
                <w:rFonts w:hint="eastAsia" w:ascii="Times New Roman" w:hAnsi="Times New Roman" w:eastAsia="宋体" w:cs="Times New Roman"/>
                <w:color w:val="000000"/>
                <w:sz w:val="24"/>
                <w:highlight w:val="none"/>
              </w:rPr>
              <w:t xml:space="preserve">收费标准：</w:t>
            </w:r>
            <w:r>
              <w:rPr>
                <w:rFonts w:hint="eastAsia" w:ascii="Times New Roman" w:hAnsi="Times New Roman" w:eastAsia="宋体" w:cs="Times New Roman"/>
                <w:color w:val="000000"/>
                <w:sz w:val="24"/>
                <w:highlight w:val="none"/>
                <w:lang w:val="en-US" w:eastAsia="zh-CN"/>
              </w:rPr>
              <w:t xml:space="preserve">按中标价的2‰计取（单项收费低于叁仟元按叁仟元计）</w:t>
            </w:r>
            <w:r>
              <w:rPr>
                <w:rFonts w:hint="eastAsia" w:ascii="Times New Roman" w:hAnsi="Times New Roman" w:eastAsia="宋体" w:cs="Times New Roman"/>
                <w:color w:val="000000"/>
                <w:sz w:val="24"/>
                <w:highlight w:val="none"/>
              </w:rPr>
              <w:t xml:space="preserve">。</w:t>
            </w:r>
            <w:r>
              <w:rPr>
                <w:color w:val="000000"/>
                <w:highlight w:val="none"/>
              </w:rPr>
            </w:r>
            <w:r/>
          </w:p>
          <w:p>
            <w:pPr>
              <w:pStyle w:val="1023"/>
              <w:jc w:val="left"/>
              <w:spacing w:line="360" w:lineRule="exact"/>
              <w:rPr>
                <w:color w:val="000000"/>
                <w:sz w:val="24"/>
                <w:highlight w:val="none"/>
              </w:rPr>
            </w:pPr>
            <w:r>
              <w:rPr>
                <w:rFonts w:hint="eastAsia"/>
                <w:color w:val="000000"/>
                <w:sz w:val="24"/>
                <w:highlight w:val="none"/>
              </w:rPr>
              <w:t xml:space="preserve">（3）账户信息：</w:t>
            </w:r>
            <w:r>
              <w:rPr>
                <w:color w:val="000000"/>
                <w:sz w:val="24"/>
                <w:highlight w:val="none"/>
              </w:rPr>
            </w:r>
            <w:r/>
          </w:p>
          <w:p>
            <w:pPr>
              <w:pStyle w:val="1023"/>
              <w:jc w:val="left"/>
              <w:spacing w:line="360" w:lineRule="exact"/>
              <w:rPr>
                <w:color w:val="000000"/>
                <w:sz w:val="24"/>
                <w:highlight w:val="none"/>
              </w:rPr>
            </w:pPr>
            <w:r>
              <w:rPr>
                <w:rFonts w:hint="eastAsia"/>
                <w:color w:val="000000"/>
                <w:sz w:val="24"/>
                <w:highlight w:val="none"/>
              </w:rPr>
              <w:t xml:space="preserve">收款单位：常州环宇工程项目管理有限公司</w:t>
            </w:r>
            <w:r>
              <w:rPr>
                <w:color w:val="000000"/>
                <w:sz w:val="24"/>
                <w:highlight w:val="none"/>
              </w:rPr>
            </w:r>
            <w:r/>
          </w:p>
          <w:p>
            <w:pPr>
              <w:pStyle w:val="1023"/>
              <w:jc w:val="left"/>
              <w:spacing w:line="360" w:lineRule="exact"/>
              <w:rPr>
                <w:color w:val="000000"/>
                <w:sz w:val="24"/>
                <w:highlight w:val="none"/>
              </w:rPr>
            </w:pPr>
            <w:r>
              <w:rPr>
                <w:rFonts w:hint="eastAsia"/>
                <w:color w:val="000000"/>
                <w:sz w:val="24"/>
                <w:highlight w:val="none"/>
              </w:rPr>
              <w:t xml:space="preserve">银行账号：10600601040004052</w:t>
            </w:r>
            <w:r>
              <w:rPr>
                <w:color w:val="000000"/>
                <w:sz w:val="24"/>
                <w:highlight w:val="none"/>
              </w:rPr>
            </w:r>
            <w:r/>
          </w:p>
          <w:p>
            <w:pPr>
              <w:pStyle w:val="1023"/>
              <w:jc w:val="left"/>
              <w:spacing w:line="360" w:lineRule="exact"/>
              <w:rPr>
                <w:color w:val="000000"/>
                <w:sz w:val="24"/>
                <w:highlight w:val="none"/>
              </w:rPr>
            </w:pPr>
            <w:r>
              <w:rPr>
                <w:rFonts w:hint="eastAsia"/>
                <w:color w:val="000000"/>
                <w:sz w:val="24"/>
                <w:highlight w:val="none"/>
              </w:rPr>
              <w:t xml:space="preserve">开户银行：农行常州武进支行</w:t>
            </w:r>
            <w:r>
              <w:rPr>
                <w:color w:val="000000"/>
                <w:sz w:val="24"/>
                <w:highlight w:val="none"/>
              </w:rPr>
            </w:r>
            <w:r/>
          </w:p>
          <w:p>
            <w:pPr>
              <w:pStyle w:val="1023"/>
              <w:jc w:val="left"/>
              <w:spacing w:line="360" w:lineRule="exact"/>
              <w:rPr>
                <w:rFonts w:hint="eastAsia"/>
                <w:color w:val="000000"/>
                <w:sz w:val="24"/>
                <w:highlight w:val="none"/>
              </w:rPr>
            </w:pPr>
            <w:r>
              <w:rPr>
                <w:rFonts w:hint="eastAsia"/>
                <w:b/>
                <w:bCs/>
                <w:color w:val="000000"/>
                <w:sz w:val="24"/>
                <w:highlight w:val="none"/>
              </w:rPr>
              <w:t xml:space="preserve">注：上述个人信息由于工作需要经机构或本人同意对外公布。</w:t>
            </w:r>
            <w:r>
              <w:rPr>
                <w:rFonts w:hint="eastAsia"/>
                <w:color w:val="000000"/>
                <w:sz w:val="24"/>
                <w:highlight w:val="none"/>
              </w:rPr>
            </w:r>
            <w:r/>
          </w:p>
        </w:tc>
      </w:tr>
    </w:tbl>
    <w:p>
      <w:pPr>
        <w:pStyle w:val="1023"/>
        <w:jc w:val="both"/>
        <w:spacing w:line="360" w:lineRule="auto"/>
        <w:tabs>
          <w:tab w:val="left" w:pos="5580" w:leader="none"/>
        </w:tabs>
        <w:rPr>
          <w:color w:val="000000"/>
          <w:sz w:val="24"/>
          <w:highlight w:val="none"/>
        </w:rPr>
        <w:sectPr>
          <w:headerReference w:type="default" r:id="rId9"/>
          <w:headerReference w:type="first" r:id="rId10"/>
          <w:footerReference w:type="default" r:id="rId13"/>
          <w:footerReference w:type="first" r:id="rId14"/>
          <w:footnotePr/>
          <w:endnotePr/>
          <w:type w:val="nextColumn"/>
          <w:pgSz w:w="11905" w:h="16838" w:orient="portrait"/>
          <w:pgMar w:top="1417" w:right="1417" w:bottom="1417" w:left="1417" w:header="850" w:footer="992" w:gutter="0"/>
          <w:cols w:num="1" w:sep="0" w:space="1701" w:equalWidth="1"/>
          <w:docGrid w:linePitch="360"/>
        </w:sectPr>
      </w:pPr>
      <w:r>
        <w:rPr>
          <w:color w:val="000000"/>
          <w:sz w:val="24"/>
          <w:highlight w:val="none"/>
        </w:rPr>
        <w:br w:type="page" w:clear="all"/>
      </w:r>
      <w:r/>
    </w:p>
    <w:p>
      <w:pPr>
        <w:pStyle w:val="1025"/>
        <w:spacing w:before="0" w:line="360" w:lineRule="auto"/>
        <w:tabs>
          <w:tab w:val="center" w:pos="4592" w:leader="none"/>
          <w:tab w:val="left" w:pos="7860" w:leader="none"/>
          <w:tab w:val="right" w:pos="8937" w:leader="dot"/>
        </w:tabs>
        <w:rPr>
          <w:rFonts w:ascii="Times New Roman" w:hAnsi="Times New Roman" w:eastAsia="宋体"/>
          <w:color w:val="000000"/>
          <w:sz w:val="32"/>
          <w:szCs w:val="32"/>
          <w:highlight w:val="none"/>
        </w:r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Start w:id="71" w:name="_Toc151193832"/>
      <w:r/>
      <w:bookmarkStart w:id="72" w:name="_Toc150774723"/>
      <w:r/>
      <w:bookmarkStart w:id="73" w:name="_Toc305158786"/>
      <w:r/>
      <w:bookmarkStart w:id="74" w:name="_Toc226309762"/>
      <w:r/>
      <w:bookmarkStart w:id="75" w:name="_Toc151190145"/>
      <w:r/>
      <w:bookmarkStart w:id="76" w:name="_Toc151193688"/>
      <w:r/>
      <w:bookmarkStart w:id="77" w:name="_Toc150774618"/>
      <w:r/>
      <w:bookmarkStart w:id="78" w:name="_Toc142311020"/>
      <w:r/>
      <w:bookmarkStart w:id="79" w:name="_Toc265228356"/>
      <w:r/>
      <w:bookmarkStart w:id="80" w:name="_Toc226337214"/>
      <w:r/>
      <w:bookmarkStart w:id="81" w:name="_Toc150509269"/>
      <w:r/>
      <w:bookmarkStart w:id="82" w:name="_Toc151193616"/>
      <w:r/>
      <w:bookmarkStart w:id="83" w:name="_Toc305158860"/>
      <w:r/>
      <w:bookmarkStart w:id="84" w:name="_Toc150480756"/>
      <w:r/>
      <w:bookmarkStart w:id="85" w:name="_Toc195842883"/>
      <w:r/>
      <w:bookmarkStart w:id="86" w:name="_Toc520356143"/>
      <w:r/>
      <w:bookmarkStart w:id="87" w:name="_Toc226965791"/>
      <w:r/>
      <w:bookmarkStart w:id="88" w:name="_Toc151193906"/>
      <w:r/>
      <w:bookmarkStart w:id="89" w:name="_Toc264969208"/>
      <w:r/>
      <w:bookmarkStart w:id="90" w:name="_Toc127151518"/>
      <w:r/>
      <w:bookmarkStart w:id="91" w:name="_Toc226965708"/>
      <w:r/>
      <w:bookmarkStart w:id="92" w:name="_Toc151193760"/>
      <w:r/>
      <w:bookmarkStart w:id="93" w:name="_Toc127151555"/>
      <w:r/>
      <w:bookmarkStart w:id="94" w:name="_Toc99301424"/>
      <w:r/>
      <w:bookmarkStart w:id="95" w:name="_Toc353873665"/>
      <w:r/>
      <w:bookmarkStart w:id="96" w:name="_Toc226965828"/>
      <w:r/>
      <w:bookmarkStart w:id="97" w:name="_Toc265228393"/>
      <w:r/>
      <w:bookmarkStart w:id="98" w:name="_Toc195842920"/>
      <w:r/>
      <w:bookmarkStart w:id="99" w:name="_Toc150480793"/>
      <w:r/>
      <w:bookmarkStart w:id="100" w:name="_Toc150774760"/>
      <w:r/>
      <w:bookmarkStart w:id="101" w:name="_Toc226337251"/>
      <w:r/>
      <w:bookmarkStart w:id="102" w:name="_Toc353873935"/>
      <w:r/>
      <w:bookmarkStart w:id="103" w:name="_Toc264969245"/>
      <w:r/>
      <w:bookmarkStart w:id="104" w:name="_Toc353825545"/>
      <w:r/>
      <w:bookmarkStart w:id="105" w:name="_Toc142311057"/>
      <w:r/>
      <w:bookmarkStart w:id="106" w:name="_Toc305158823"/>
      <w:r/>
      <w:bookmarkStart w:id="107" w:name="_Toc305158897"/>
      <w:r>
        <w:rPr>
          <w:rFonts w:hint="eastAsia" w:ascii="Times New Roman" w:hAnsi="Times New Roman" w:eastAsia="宋体"/>
          <w:color w:val="000000"/>
          <w:sz w:val="32"/>
          <w:szCs w:val="32"/>
          <w:highlight w:val="none"/>
        </w:rPr>
        <w:t xml:space="preserve">第二节 说明</w:t>
      </w:r>
      <w:r>
        <w:rPr>
          <w:rFonts w:ascii="Times New Roman" w:hAnsi="Times New Roman" w:eastAsia="宋体"/>
          <w:color w:val="000000"/>
          <w:sz w:val="32"/>
          <w:szCs w:val="32"/>
          <w:highlight w:val="none"/>
        </w:rPr>
      </w:r>
      <w:r/>
    </w:p>
    <w:p>
      <w:pPr>
        <w:pStyle w:val="1025"/>
        <w:ind w:firstLine="321"/>
        <w:jc w:val="both"/>
        <w:spacing w:before="0" w:line="500" w:lineRule="exact"/>
        <w:tabs>
          <w:tab w:val="center" w:pos="4592" w:leader="none"/>
          <w:tab w:val="left" w:pos="7860" w:leader="none"/>
          <w:tab w:val="right" w:pos="8937" w:leader="dot"/>
        </w:tabs>
        <w:rPr>
          <w:rFonts w:ascii="Times New Roman" w:hAnsi="Times New Roman" w:eastAsia="宋体"/>
          <w:color w:val="000000"/>
          <w:sz w:val="28"/>
          <w:highlight w:val="none"/>
        </w:rPr>
      </w:pPr>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Start w:id="108" w:name="_Toc226965827"/>
      <w:r/>
      <w:bookmarkStart w:id="109" w:name="_Toc150774759"/>
      <w:r/>
      <w:bookmarkStart w:id="110" w:name="_Toc305158822"/>
      <w:r/>
      <w:bookmarkStart w:id="111" w:name="_Toc99301421"/>
      <w:r/>
      <w:bookmarkStart w:id="112" w:name="_Toc353873934"/>
      <w:r/>
      <w:bookmarkStart w:id="113" w:name="_Toc226337250"/>
      <w:r/>
      <w:bookmarkStart w:id="114" w:name="_Toc150480792"/>
      <w:r/>
      <w:bookmarkStart w:id="115" w:name="_Toc265228392"/>
      <w:r/>
      <w:bookmarkStart w:id="116" w:name="_Toc305158896"/>
      <w:r/>
      <w:bookmarkStart w:id="117" w:name="_Toc264969244"/>
      <w:r/>
      <w:bookmarkStart w:id="118" w:name="_Toc142311056"/>
      <w:r/>
      <w:bookmarkStart w:id="119" w:name="_Toc353825544"/>
      <w:r/>
      <w:bookmarkStart w:id="120" w:name="_Toc127151554"/>
      <w:r/>
      <w:bookmarkStart w:id="121" w:name="_Toc353873664"/>
      <w:r>
        <w:rPr>
          <w:rFonts w:hint="eastAsia" w:ascii="Times New Roman" w:hAnsi="Times New Roman" w:eastAsia="宋体"/>
          <w:color w:val="000000"/>
          <w:sz w:val="32"/>
          <w:szCs w:val="32"/>
          <w:highlight w:val="none"/>
        </w:rPr>
        <w:t xml:space="preserve">一、</w:t>
      </w:r>
      <w:r>
        <w:rPr>
          <w:rFonts w:ascii="Times New Roman" w:hAnsi="Times New Roman" w:eastAsia="宋体"/>
          <w:color w:val="000000"/>
          <w:sz w:val="32"/>
          <w:szCs w:val="32"/>
          <w:highlight w:val="none"/>
        </w:rPr>
        <w:t xml:space="preserve"> </w:t>
      </w:r>
      <w:r>
        <w:rPr>
          <w:rFonts w:hint="eastAsia" w:ascii="Times New Roman" w:hAnsi="Times New Roman" w:eastAsia="宋体"/>
          <w:color w:val="000000"/>
          <w:sz w:val="32"/>
          <w:szCs w:val="32"/>
          <w:highlight w:val="none"/>
        </w:rPr>
        <w:t xml:space="preserve">总则</w:t>
      </w:r>
      <w:r>
        <w:rPr>
          <w:rFonts w:ascii="Times New Roman" w:hAnsi="Times New Roman" w:eastAsia="宋体"/>
          <w:color w:val="000000"/>
          <w:sz w:val="28"/>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22" w:name="_Toc20823276"/>
      <w:r/>
      <w:bookmarkStart w:id="123" w:name="_Toc16938520"/>
      <w:r/>
      <w:bookmarkStart w:id="124" w:name="_Toc513029204"/>
      <w:r/>
      <w:bookmarkStart w:id="125" w:name="_Toc458694821"/>
      <w:r>
        <w:rPr>
          <w:rFonts w:hint="eastAsia" w:ascii="Arial" w:hAnsi="Arial" w:eastAsia="黑体" w:cs="Arial"/>
          <w:color w:val="000000"/>
          <w:sz w:val="28"/>
          <w:szCs w:val="28"/>
          <w:highlight w:val="none"/>
        </w:rPr>
        <w:t xml:space="preserve">1</w:t>
      </w:r>
      <w:bookmarkEnd w:id="125"/>
      <w:r>
        <w:rPr>
          <w:rFonts w:hint="eastAsia" w:ascii="Arial" w:hAnsi="Arial" w:eastAsia="黑体" w:cs="Arial"/>
          <w:color w:val="000000"/>
          <w:sz w:val="28"/>
          <w:szCs w:val="28"/>
          <w:highlight w:val="none"/>
        </w:rPr>
        <w:t xml:space="preserve">、采购方式</w:t>
      </w:r>
      <w:bookmarkEnd w:id="122"/>
      <w:r/>
      <w:bookmarkEnd w:id="123"/>
      <w:r/>
      <w:bookmarkEnd w:id="124"/>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 本次招标采取公开招标方式，本招标文件仅适用于招标公告中所述项目。</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26" w:name="_Toc16938521"/>
      <w:r/>
      <w:bookmarkStart w:id="127" w:name="_Toc513029205"/>
      <w:r/>
      <w:bookmarkStart w:id="128" w:name="_Toc20823277"/>
      <w:r>
        <w:rPr>
          <w:rFonts w:hint="eastAsia" w:ascii="Arial" w:hAnsi="Arial" w:eastAsia="黑体" w:cs="Arial"/>
          <w:color w:val="000000"/>
          <w:sz w:val="28"/>
          <w:szCs w:val="28"/>
          <w:highlight w:val="none"/>
        </w:rPr>
        <w:t xml:space="preserve">2、合格的投标人</w:t>
      </w:r>
      <w:bookmarkEnd w:id="126"/>
      <w:r/>
      <w:bookmarkEnd w:id="127"/>
      <w:r/>
      <w:bookmarkEnd w:id="128"/>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2.1满足招标公告中供应商的资格要求的规定。</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2.2 满足本文件实质性要求和条件的规定。</w:t>
      </w:r>
      <w:r>
        <w:rPr>
          <w:rFonts w:hint="eastAsia"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29" w:name="_Toc16938522"/>
      <w:r/>
      <w:bookmarkStart w:id="130" w:name="_Toc20823278"/>
      <w:r/>
      <w:bookmarkStart w:id="131" w:name="_Toc513029206"/>
      <w:r>
        <w:rPr>
          <w:rFonts w:hint="eastAsia" w:ascii="Arial" w:hAnsi="Arial" w:eastAsia="黑体" w:cs="Arial"/>
          <w:color w:val="000000"/>
          <w:sz w:val="28"/>
          <w:szCs w:val="28"/>
          <w:highlight w:val="none"/>
        </w:rPr>
        <w:t xml:space="preserve">3、适用法律</w:t>
      </w:r>
      <w:bookmarkEnd w:id="129"/>
      <w:r/>
      <w:bookmarkEnd w:id="130"/>
      <w:r/>
      <w:bookmarkEnd w:id="131"/>
      <w:r>
        <w:rPr>
          <w:rFonts w:hint="eastAsia" w:ascii="Arial" w:hAnsi="Arial" w:eastAsia="黑体" w:cs="Arial"/>
          <w:color w:val="000000"/>
          <w:sz w:val="28"/>
          <w:szCs w:val="28"/>
          <w:highlight w:val="none"/>
        </w:rPr>
      </w:r>
      <w:r/>
    </w:p>
    <w:p>
      <w:pPr>
        <w:pStyle w:val="1023"/>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 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32" w:name="_Toc462564067"/>
      <w:r/>
      <w:bookmarkStart w:id="133" w:name="_Toc20823279"/>
      <w:r/>
      <w:bookmarkStart w:id="134" w:name="_Toc513029207"/>
      <w:r/>
      <w:bookmarkStart w:id="135" w:name="_Toc16938523"/>
      <w:r>
        <w:rPr>
          <w:rFonts w:hint="eastAsia" w:ascii="Arial" w:hAnsi="Arial" w:eastAsia="黑体" w:cs="Arial"/>
          <w:color w:val="000000"/>
          <w:sz w:val="28"/>
          <w:szCs w:val="28"/>
          <w:highlight w:val="none"/>
        </w:rPr>
        <w:t xml:space="preserve">4、投标费用</w:t>
      </w:r>
      <w:bookmarkEnd w:id="132"/>
      <w:r/>
      <w:bookmarkEnd w:id="133"/>
      <w:r/>
      <w:bookmarkEnd w:id="134"/>
      <w:r/>
      <w:bookmarkEnd w:id="135"/>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 投标人应自行承担所有与参加投标有关的费用，无论投标过程中的做法和结果如何，</w:t>
      </w:r>
      <w:r>
        <w:rPr>
          <w:rFonts w:hint="eastAsia" w:ascii="宋体" w:hAnsi="宋体"/>
          <w:color w:val="000000"/>
          <w:sz w:val="24"/>
          <w:szCs w:val="21"/>
          <w:highlight w:val="none"/>
          <w:lang w:eastAsia="zh-CN"/>
        </w:rPr>
        <w:t xml:space="preserve">常州环宇工程项目管理有限公司</w:t>
      </w:r>
      <w:r>
        <w:rPr>
          <w:rFonts w:hint="eastAsia" w:ascii="宋体" w:hAnsi="宋体"/>
          <w:color w:val="000000"/>
          <w:sz w:val="24"/>
          <w:szCs w:val="21"/>
          <w:highlight w:val="none"/>
        </w:rPr>
        <w:t xml:space="preserve">（以下简称采购</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4.2本次招标采购</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和采购人不收取标书工本费与中标服务费。</w:t>
      </w:r>
      <w:r>
        <w:rPr>
          <w:rFonts w:hint="eastAsia" w:ascii="宋体" w:hAnsi="宋体"/>
          <w:color w:val="000000"/>
          <w:sz w:val="24"/>
          <w:szCs w:val="21"/>
          <w:highlight w:val="none"/>
        </w:rPr>
      </w:r>
      <w:r/>
    </w:p>
    <w:p>
      <w:pPr>
        <w:pStyle w:val="1023"/>
        <w:ind w:firstLine="602"/>
        <w:keepLines/>
        <w:keepNext/>
        <w:spacing w:line="500" w:lineRule="exact"/>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投标人一旦参加本项目采购活动，即被认为接受了本招标文件的规定和约束。</w:t>
      </w:r>
      <w:r>
        <w:rPr>
          <w:rFonts w:hint="eastAsia" w:ascii="宋体" w:hAnsi="宋体"/>
          <w:color w:val="000000"/>
          <w:sz w:val="24"/>
          <w:highlight w:val="none"/>
        </w:rPr>
      </w:r>
      <w:r/>
    </w:p>
    <w:p>
      <w:pPr>
        <w:pStyle w:val="1023"/>
        <w:ind w:firstLine="321"/>
        <w:keepLines/>
        <w:keepNext/>
        <w:spacing w:line="500" w:lineRule="exact"/>
        <w:rPr>
          <w:rFonts w:hint="eastAsia"/>
          <w:b/>
          <w:bCs/>
          <w:color w:val="000000"/>
          <w:sz w:val="32"/>
          <w:szCs w:val="32"/>
          <w:highlight w:val="none"/>
        </w:rPr>
        <w:outlineLvl w:val="2"/>
      </w:pPr>
      <w:r/>
      <w:bookmarkStart w:id="136" w:name="_Toc120614215"/>
      <w:r/>
      <w:bookmarkStart w:id="137" w:name="_Toc20823281"/>
      <w:r/>
      <w:bookmarkStart w:id="138" w:name="_Toc16938525"/>
      <w:r/>
      <w:bookmarkStart w:id="139" w:name="_Toc513029209"/>
      <w:r>
        <w:rPr>
          <w:rFonts w:hint="eastAsia"/>
          <w:b/>
          <w:bCs/>
          <w:color w:val="000000"/>
          <w:sz w:val="32"/>
          <w:szCs w:val="32"/>
          <w:highlight w:val="none"/>
        </w:rPr>
        <w:t xml:space="preserve">二、招标文件</w:t>
      </w:r>
      <w:bookmarkEnd w:id="136"/>
      <w:r/>
      <w:bookmarkEnd w:id="137"/>
      <w:r/>
      <w:bookmarkEnd w:id="138"/>
      <w:r/>
      <w:bookmarkEnd w:id="139"/>
      <w:r>
        <w:rPr>
          <w:rFonts w:hint="eastAsia"/>
          <w:b/>
          <w:bCs/>
          <w:color w:val="000000"/>
          <w:sz w:val="32"/>
          <w:szCs w:val="32"/>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40" w:name="_Toc20823282"/>
      <w:r/>
      <w:bookmarkStart w:id="141" w:name="_Toc513029210"/>
      <w:r/>
      <w:bookmarkStart w:id="142" w:name="_Toc16938526"/>
      <w:r>
        <w:rPr>
          <w:rFonts w:hint="eastAsia" w:ascii="Arial" w:hAnsi="Arial" w:eastAsia="黑体" w:cs="Arial"/>
          <w:color w:val="000000"/>
          <w:sz w:val="28"/>
          <w:szCs w:val="28"/>
          <w:highlight w:val="none"/>
        </w:rPr>
        <w:t xml:space="preserve">6、招标文件构成</w:t>
      </w:r>
      <w:bookmarkEnd w:id="140"/>
      <w:r/>
      <w:bookmarkEnd w:id="141"/>
      <w:r/>
      <w:bookmarkEnd w:id="142"/>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 招标文件由以下部分组成：</w:t>
      </w:r>
      <w:r>
        <w:rPr>
          <w:rFonts w:hint="eastAsia" w:ascii="宋体" w:hAnsi="宋体"/>
          <w:color w:val="000000"/>
          <w:sz w:val="24"/>
          <w:szCs w:val="21"/>
          <w:highlight w:val="none"/>
        </w:rPr>
      </w:r>
      <w:r/>
    </w:p>
    <w:p>
      <w:pPr>
        <w:pStyle w:val="102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（1）投标</w:t>
      </w:r>
      <w:r>
        <w:rPr>
          <w:rFonts w:ascii="宋体" w:hAnsi="宋体"/>
          <w:color w:val="000000"/>
          <w:sz w:val="24"/>
          <w:highlight w:val="none"/>
        </w:rPr>
        <w:t xml:space="preserve">邀请</w:t>
      </w:r>
      <w:r>
        <w:rPr>
          <w:rFonts w:hint="eastAsia" w:ascii="宋体" w:hAnsi="宋体"/>
          <w:color w:val="000000"/>
          <w:sz w:val="24"/>
          <w:highlight w:val="none"/>
        </w:rPr>
      </w:r>
      <w:r/>
    </w:p>
    <w:p>
      <w:pPr>
        <w:pStyle w:val="1023"/>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（2）投标人须知</w:t>
      </w:r>
      <w:r>
        <w:rPr>
          <w:rFonts w:ascii="宋体" w:hAnsi="宋体"/>
          <w:color w:val="000000"/>
          <w:sz w:val="24"/>
          <w:highlight w:val="none"/>
        </w:rPr>
      </w:r>
      <w:r/>
    </w:p>
    <w:p>
      <w:pPr>
        <w:pStyle w:val="102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（3）资格审查</w:t>
      </w:r>
      <w:r>
        <w:rPr>
          <w:rFonts w:hint="eastAsia" w:ascii="宋体" w:hAnsi="宋体"/>
          <w:color w:val="000000"/>
          <w:sz w:val="24"/>
          <w:highlight w:val="none"/>
        </w:rPr>
      </w:r>
      <w:r/>
    </w:p>
    <w:p>
      <w:pPr>
        <w:pStyle w:val="102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（4）评标程序、评标方法和评标标准</w:t>
      </w:r>
      <w:r>
        <w:rPr>
          <w:rFonts w:hint="eastAsia" w:ascii="宋体" w:hAnsi="宋体"/>
          <w:color w:val="000000"/>
          <w:sz w:val="24"/>
          <w:highlight w:val="none"/>
        </w:rPr>
      </w:r>
      <w:r/>
    </w:p>
    <w:p>
      <w:pPr>
        <w:pStyle w:val="1023"/>
        <w:ind w:firstLine="360"/>
        <w:spacing w:line="500" w:lineRule="exact"/>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rPr>
          <w:rFonts w:hint="eastAsia"/>
          <w:color w:val="000000"/>
          <w:sz w:val="24"/>
          <w:highlight w:val="none"/>
        </w:rPr>
      </w:r>
      <w:r/>
    </w:p>
    <w:p>
      <w:pPr>
        <w:pStyle w:val="1023"/>
        <w:ind w:firstLine="360"/>
        <w:spacing w:line="500" w:lineRule="exact"/>
        <w:rPr>
          <w:rFonts w:ascii="宋体" w:hAnsi="宋体"/>
          <w:color w:val="000000"/>
          <w:sz w:val="24"/>
          <w:highlight w:val="none"/>
        </w:rPr>
      </w:pPr>
      <w:r>
        <w:rPr>
          <w:rFonts w:hint="eastAsia" w:ascii="宋体" w:hAnsi="宋体"/>
          <w:color w:val="000000"/>
          <w:sz w:val="24"/>
          <w:highlight w:val="none"/>
        </w:rPr>
        <w:t xml:space="preserve">（6）拟签订的合同文本</w:t>
      </w:r>
      <w:r>
        <w:rPr>
          <w:rFonts w:ascii="宋体" w:hAnsi="宋体"/>
          <w:color w:val="000000"/>
          <w:sz w:val="24"/>
          <w:highlight w:val="none"/>
        </w:rPr>
      </w:r>
      <w:r/>
    </w:p>
    <w:p>
      <w:pPr>
        <w:pStyle w:val="102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7</w:t>
      </w:r>
      <w:r>
        <w:rPr>
          <w:rFonts w:hint="eastAsia" w:ascii="宋体" w:hAnsi="宋体"/>
          <w:color w:val="000000"/>
          <w:sz w:val="24"/>
          <w:highlight w:val="none"/>
        </w:rPr>
        <w:t xml:space="preserve">）投标文件的组成及提交须知</w:t>
      </w:r>
      <w:r>
        <w:rPr>
          <w:rFonts w:hint="eastAsia" w:ascii="宋体" w:hAnsi="宋体"/>
          <w:color w:val="000000"/>
          <w:sz w:val="24"/>
          <w:highlight w:val="none"/>
        </w:rPr>
      </w:r>
      <w:r/>
    </w:p>
    <w:p>
      <w:pPr>
        <w:pStyle w:val="1023"/>
        <w:ind w:firstLine="360"/>
        <w:spacing w:line="500" w:lineRule="exact"/>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8</w:t>
      </w:r>
      <w:r>
        <w:rPr>
          <w:rFonts w:hint="eastAsia" w:ascii="宋体" w:hAnsi="宋体"/>
          <w:color w:val="000000"/>
          <w:sz w:val="24"/>
          <w:highlight w:val="none"/>
        </w:rPr>
        <w:t xml:space="preserve">）投标文件格式</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请仔细检查招标文件是否齐全，如有缺漏请立即与采购</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1023"/>
        <w:ind w:firstLine="560"/>
        <w:keepLines/>
        <w:keepNext/>
        <w:spacing w:line="500" w:lineRule="exact"/>
        <w:rPr>
          <w:rFonts w:hint="eastAsia" w:ascii="Arial" w:hAnsi="Arial" w:eastAsia="黑体" w:cs="Arial"/>
          <w:color w:val="000000"/>
          <w:sz w:val="28"/>
          <w:szCs w:val="28"/>
          <w:highlight w:val="none"/>
        </w:rPr>
        <w:outlineLvl w:val="3"/>
      </w:pPr>
      <w:r/>
      <w:bookmarkStart w:id="143" w:name="_Toc20823283"/>
      <w:r/>
      <w:bookmarkStart w:id="144" w:name="_Toc16938527"/>
      <w:r/>
      <w:bookmarkStart w:id="145" w:name="_Toc462564070"/>
      <w:r/>
      <w:bookmarkStart w:id="146" w:name="_Toc513029211"/>
      <w:r>
        <w:rPr>
          <w:rFonts w:hint="eastAsia" w:ascii="Arial" w:hAnsi="Arial" w:eastAsia="黑体" w:cs="Arial"/>
          <w:color w:val="000000"/>
          <w:sz w:val="28"/>
          <w:szCs w:val="28"/>
          <w:highlight w:val="none"/>
        </w:rPr>
        <w:t xml:space="preserve">7、招标文件的澄清</w:t>
      </w:r>
      <w:bookmarkEnd w:id="143"/>
      <w:r/>
      <w:bookmarkEnd w:id="144"/>
      <w:r/>
      <w:bookmarkEnd w:id="145"/>
      <w:r/>
      <w:bookmarkEnd w:id="146"/>
      <w:r>
        <w:rPr>
          <w:rFonts w:hint="eastAsia" w:ascii="Arial" w:hAnsi="Arial" w:eastAsia="黑体" w:cs="Arial"/>
          <w:color w:val="000000"/>
          <w:sz w:val="28"/>
          <w:szCs w:val="28"/>
          <w:highlight w:val="none"/>
        </w:rPr>
      </w:r>
      <w:r/>
    </w:p>
    <w:p>
      <w:pPr>
        <w:pStyle w:val="1023"/>
        <w:ind w:firstLine="480"/>
        <w:jc w:val="left"/>
        <w:spacing w:line="500" w:lineRule="exact"/>
        <w:tabs>
          <w:tab w:val="left" w:pos="1080" w:leader="none"/>
          <w:tab w:val="left" w:pos="1561" w:leader="none"/>
          <w:tab w:val="left" w:pos="1589" w:leader="none"/>
          <w:tab w:val="left" w:pos="2014" w:leader="none"/>
        </w:tabs>
        <w:rPr>
          <w:color w:val="000000"/>
          <w:sz w:val="24"/>
          <w:highlight w:val="none"/>
        </w:rPr>
      </w:pPr>
      <w:r/>
      <w:bookmarkStart w:id="147" w:name="_Toc16938528"/>
      <w:r/>
      <w:bookmarkStart w:id="148" w:name="_Toc513029212"/>
      <w:r/>
      <w:bookmarkStart w:id="149" w:name="_Toc20823284"/>
      <w:r/>
      <w:bookmarkStart w:id="150" w:name="_Toc462564071"/>
      <w:r>
        <w:rPr>
          <w:rFonts w:hint="eastAsia"/>
          <w:color w:val="000000"/>
          <w:sz w:val="24"/>
          <w:highlight w:val="none"/>
        </w:rPr>
        <w:t xml:space="preserve">7</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采购人或采购代理机构对已发出的招标文件进行必要澄清或者修改的，将在原公告发布媒体上以</w:t>
      </w:r>
      <w:r>
        <w:rPr>
          <w:rFonts w:hint="eastAsia"/>
          <w:color w:val="000000"/>
          <w:sz w:val="24"/>
          <w:highlight w:val="none"/>
        </w:rPr>
        <w:t xml:space="preserve">发布</w:t>
      </w:r>
      <w:r>
        <w:rPr>
          <w:color w:val="000000"/>
          <w:sz w:val="24"/>
          <w:highlight w:val="none"/>
        </w:rPr>
        <w:t xml:space="preserve">更正公告</w:t>
      </w:r>
      <w:r>
        <w:rPr>
          <w:rFonts w:hint="eastAsia"/>
          <w:color w:val="000000"/>
          <w:sz w:val="24"/>
          <w:highlight w:val="none"/>
        </w:rPr>
        <w:t xml:space="preserve">的</w:t>
      </w:r>
      <w:r>
        <w:rPr>
          <w:color w:val="000000"/>
          <w:sz w:val="24"/>
          <w:highlight w:val="none"/>
        </w:rPr>
        <w:t xml:space="preserve">形式通知所有获取招标文件的潜在投标人。</w:t>
      </w:r>
      <w:r>
        <w:rPr>
          <w:color w:val="000000"/>
          <w:sz w:val="24"/>
          <w:highlight w:val="none"/>
        </w:rPr>
      </w:r>
      <w:r/>
    </w:p>
    <w:p>
      <w:pPr>
        <w:pStyle w:val="1023"/>
        <w:ind w:firstLine="56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8、招标文件的修改</w:t>
      </w:r>
      <w:bookmarkEnd w:id="147"/>
      <w:r/>
      <w:bookmarkEnd w:id="148"/>
      <w:r/>
      <w:bookmarkEnd w:id="149"/>
      <w:r/>
      <w:bookmarkEnd w:id="150"/>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1023"/>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 </w:t>
      </w:r>
      <w:r>
        <w:rPr>
          <w:rFonts w:hint="eastAsia" w:ascii="宋体" w:hAnsi="宋体"/>
          <w:color w:val="000000"/>
          <w:sz w:val="24"/>
          <w:szCs w:val="21"/>
          <w:highlight w:val="none"/>
          <w:lang w:eastAsia="zh-CN"/>
        </w:rPr>
        <w:t xml:space="preserve">采购代理机构</w:t>
      </w:r>
      <w:r>
        <w:rPr>
          <w:rFonts w:hint="eastAsia" w:ascii="宋体" w:hAnsi="宋体"/>
          <w:color w:val="000000"/>
          <w:sz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 </w:t>
      </w:r>
      <w:r>
        <w:rPr>
          <w:rFonts w:hint="eastAsia" w:ascii="宋体" w:hAnsi="宋体"/>
          <w:color w:val="000000"/>
          <w:sz w:val="24"/>
          <w:szCs w:val="21"/>
          <w:highlight w:val="none"/>
        </w:rPr>
        <w:t xml:space="preserve">招标文件的修改将在</w:t>
      </w:r>
      <w:bookmarkStart w:id="151" w:name="_Hlk151728132"/>
      <w:r>
        <w:rPr>
          <w:rFonts w:hint="eastAsia" w:ascii="宋体" w:hAnsi="宋体"/>
          <w:color w:val="000000"/>
          <w:sz w:val="24"/>
          <w:szCs w:val="21"/>
          <w:highlight w:val="none"/>
        </w:rPr>
        <w:t xml:space="preserve">“江苏省政府采购网”、“常州市政府采购网”</w:t>
      </w:r>
      <w:bookmarkEnd w:id="151"/>
      <w:r>
        <w:rPr>
          <w:rFonts w:hint="eastAsia" w:ascii="宋体" w:hAnsi="宋体"/>
          <w:color w:val="000000"/>
          <w:sz w:val="24"/>
          <w:szCs w:val="21"/>
          <w:highlight w:val="none"/>
        </w:rPr>
        <w:t xml:space="preserve">公布，</w:t>
      </w:r>
      <w:r>
        <w:rPr>
          <w:rFonts w:hint="eastAsia" w:ascii="宋体" w:hAnsi="宋体"/>
          <w:color w:val="000000"/>
          <w:sz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1023"/>
        <w:ind w:firstLine="482"/>
        <w:keepLines/>
        <w:keepNext/>
        <w:spacing w:line="500" w:lineRule="exact"/>
        <w:rPr>
          <w:rFonts w:hint="eastAsia"/>
          <w:b/>
          <w:bCs/>
          <w:color w:val="000000"/>
          <w:sz w:val="32"/>
          <w:szCs w:val="32"/>
          <w:highlight w:val="none"/>
        </w:rPr>
        <w:outlineLvl w:val="2"/>
      </w:pPr>
      <w:r/>
      <w:bookmarkStart w:id="152" w:name="_Toc120614216"/>
      <w:r/>
      <w:bookmarkStart w:id="153" w:name="_Toc20823285"/>
      <w:r/>
      <w:bookmarkStart w:id="154" w:name="_Toc16938529"/>
      <w:r/>
      <w:bookmarkStart w:id="155" w:name="_Toc513029213"/>
      <w:r/>
      <w:bookmarkStart w:id="156" w:name="_Toc462564072"/>
      <w:r>
        <w:rPr>
          <w:rFonts w:hint="eastAsia"/>
          <w:b/>
          <w:bCs/>
          <w:color w:val="000000"/>
          <w:sz w:val="32"/>
          <w:szCs w:val="32"/>
          <w:highlight w:val="none"/>
        </w:rPr>
        <w:t xml:space="preserve">三、投标文件的编制</w:t>
      </w:r>
      <w:bookmarkEnd w:id="152"/>
      <w:r/>
      <w:bookmarkEnd w:id="153"/>
      <w:r/>
      <w:bookmarkEnd w:id="154"/>
      <w:r/>
      <w:bookmarkEnd w:id="155"/>
      <w:r/>
      <w:bookmarkEnd w:id="156"/>
      <w:r>
        <w:rPr>
          <w:rFonts w:hint="eastAsia"/>
          <w:b/>
          <w:bCs/>
          <w:color w:val="000000"/>
          <w:sz w:val="32"/>
          <w:szCs w:val="32"/>
          <w:highlight w:val="none"/>
        </w:rPr>
      </w:r>
      <w:r/>
    </w:p>
    <w:p>
      <w:pPr>
        <w:pStyle w:val="1023"/>
        <w:ind w:firstLine="560"/>
        <w:keepLines/>
        <w:keepNext/>
        <w:spacing w:line="500" w:lineRule="exact"/>
        <w:rPr>
          <w:rFonts w:hint="eastAsia" w:ascii="Arial" w:hAnsi="Arial" w:eastAsia="黑体" w:cs="Arial"/>
          <w:b/>
          <w:color w:val="000000"/>
          <w:sz w:val="28"/>
          <w:szCs w:val="28"/>
          <w:highlight w:val="none"/>
        </w:rPr>
        <w:outlineLvl w:val="3"/>
      </w:pPr>
      <w:r/>
      <w:bookmarkStart w:id="157" w:name="_Toc462564073"/>
      <w:r/>
      <w:bookmarkStart w:id="158" w:name="_Toc16938530"/>
      <w:r/>
      <w:bookmarkStart w:id="159" w:name="_Toc20823286"/>
      <w:r/>
      <w:bookmarkStart w:id="160" w:name="_Toc513029214"/>
      <w:r>
        <w:rPr>
          <w:rFonts w:hint="eastAsia" w:ascii="Arial" w:hAnsi="Arial" w:eastAsia="黑体" w:cs="Arial"/>
          <w:color w:val="000000"/>
          <w:sz w:val="28"/>
          <w:szCs w:val="28"/>
          <w:highlight w:val="none"/>
        </w:rPr>
        <w:t xml:space="preserve">9、投标文件的语言及度量衡单位</w:t>
      </w:r>
      <w:bookmarkEnd w:id="157"/>
      <w:r/>
      <w:bookmarkEnd w:id="158"/>
      <w:r/>
      <w:bookmarkEnd w:id="159"/>
      <w:r/>
      <w:bookmarkEnd w:id="160"/>
      <w:r>
        <w:rPr>
          <w:rFonts w:hint="eastAsia" w:ascii="Arial" w:hAnsi="Arial" w:eastAsia="黑体" w:cs="Arial"/>
          <w:b/>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 投标人提交的投标文件以及投标人与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就有关投标的所有来往通知、函件和文件均应使用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除技术性能另有规定外，投标文件所使用的度量衡单位，均须采用国家法定计量单位。</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61" w:name="_Toc16938531"/>
      <w:r/>
      <w:bookmarkStart w:id="162" w:name="_Toc20823287"/>
      <w:r/>
      <w:bookmarkStart w:id="163" w:name="_Toc462564074"/>
      <w:r/>
      <w:bookmarkStart w:id="164" w:name="_Toc513029215"/>
      <w:r>
        <w:rPr>
          <w:rFonts w:hint="eastAsia" w:ascii="Arial" w:hAnsi="Arial" w:eastAsia="黑体" w:cs="Arial"/>
          <w:color w:val="000000"/>
          <w:sz w:val="28"/>
          <w:szCs w:val="28"/>
          <w:highlight w:val="none"/>
        </w:rPr>
        <w:t xml:space="preserve">10、投标文件构成</w:t>
      </w:r>
      <w:bookmarkEnd w:id="161"/>
      <w:r/>
      <w:bookmarkEnd w:id="162"/>
      <w:r/>
      <w:bookmarkEnd w:id="163"/>
      <w:r/>
      <w:bookmarkEnd w:id="164"/>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 投标人编写的投标文件应包括资格证明文件、符合性证明文件、投标报价明细表、技术偏离表、其他证明文件、投标函、开标一览表等部分。</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10.2 如标书制作工具中格式和内容与“江苏省政府采购网”、“常州市政府采购网”发布的招标文件不一致，请以“江苏省政府采购网”、“常州市政府采购网”发布的招标文件为准。</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65" w:name="_Toc513029216"/>
      <w:r/>
      <w:bookmarkStart w:id="166" w:name="_Toc14577354"/>
      <w:r/>
      <w:bookmarkStart w:id="167" w:name="_Toc49090507"/>
      <w:r/>
      <w:bookmarkStart w:id="168" w:name="_Toc14577357"/>
      <w:r/>
      <w:bookmarkStart w:id="169" w:name="_Toc513029219"/>
      <w:r/>
      <w:bookmarkStart w:id="170" w:name="_Toc49090509"/>
      <w:r/>
      <w:bookmarkStart w:id="171" w:name="_Hlt26954838"/>
      <w:r/>
      <w:bookmarkEnd w:id="171"/>
      <w:r/>
      <w:bookmarkStart w:id="172" w:name="_Hlt26670360"/>
      <w:r/>
      <w:bookmarkEnd w:id="172"/>
      <w:r/>
      <w:bookmarkStart w:id="173" w:name="_Hlt26668975"/>
      <w:r/>
      <w:bookmarkEnd w:id="173"/>
      <w:r/>
      <w:bookmarkStart w:id="174" w:name="_Toc14577355"/>
      <w:r/>
      <w:bookmarkStart w:id="175" w:name="_Toc49090508"/>
      <w:r>
        <w:rPr>
          <w:rFonts w:hint="eastAsia" w:ascii="Arial" w:hAnsi="Arial" w:eastAsia="黑体" w:cs="Arial"/>
          <w:color w:val="000000"/>
          <w:sz w:val="28"/>
          <w:szCs w:val="28"/>
          <w:highlight w:val="none"/>
        </w:rPr>
        <w:t xml:space="preserve">11、证明投标人及投标标的符合招标文件规定的文件</w:t>
      </w:r>
      <w:bookmarkEnd w:id="168"/>
      <w:r/>
      <w:bookmarkEnd w:id="169"/>
      <w:r/>
      <w:bookmarkEnd w:id="170"/>
      <w:r>
        <w:rPr>
          <w:rFonts w:hint="eastAsia" w:ascii="Arial" w:hAnsi="Arial" w:eastAsia="黑体" w:cs="Arial"/>
          <w:color w:val="000000"/>
          <w:sz w:val="28"/>
          <w:szCs w:val="28"/>
          <w:highlight w:val="none"/>
        </w:rPr>
      </w:r>
      <w:r/>
    </w:p>
    <w:p>
      <w:pPr>
        <w:pStyle w:val="1023"/>
        <w:spacing w:line="500" w:lineRule="exact"/>
        <w:rPr>
          <w:rFonts w:hint="eastAsia" w:ascii="宋体" w:hAnsi="宋体"/>
          <w:color w:val="000000"/>
          <w:sz w:val="24"/>
          <w:highlight w:val="none"/>
        </w:rPr>
      </w:pPr>
      <w:r/>
      <w:bookmarkEnd w:id="165"/>
      <w:r/>
      <w:bookmarkEnd w:id="166"/>
      <w:r/>
      <w:bookmarkEnd w:id="167"/>
      <w:r>
        <w:rPr>
          <w:rFonts w:hint="eastAsia" w:ascii="宋体" w:hAnsi="宋体"/>
          <w:color w:val="000000"/>
          <w:sz w:val="24"/>
          <w:highlight w:val="none"/>
        </w:rPr>
        <w:t xml:space="preserve">    11.1 投标人应按照招标文件要求提交证明文件，证明其及投标标的符合招标文件规定。</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11.2招标文件对证明文件无明确形式要求的，证明文件可以以文字资料、图纸和数据等形式提交。</w:t>
      </w:r>
      <w:r>
        <w:rPr>
          <w:rFonts w:hint="eastAsia"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End w:id="174"/>
      <w:r/>
      <w:bookmarkEnd w:id="175"/>
      <w:r>
        <w:rPr>
          <w:rFonts w:hint="eastAsia" w:ascii="Arial" w:hAnsi="Arial" w:eastAsia="黑体" w:cs="Arial"/>
          <w:color w:val="000000"/>
          <w:sz w:val="28"/>
          <w:szCs w:val="28"/>
          <w:highlight w:val="none"/>
        </w:rPr>
        <w:t xml:space="preserve">12、投标报价明细表</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 投标人应按照招标文件规定格式填报投标报价明细表。</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投标货币。投标文件中的单价和总价无特殊规定的采用人民币报价，以元为单位标注。</w:t>
      </w:r>
      <w:r>
        <w:rPr>
          <w:rFonts w:hint="eastAsia" w:ascii="宋体" w:hAnsi="宋体"/>
          <w:color w:val="000000"/>
          <w:sz w:val="24"/>
          <w:szCs w:val="21"/>
          <w:highlight w:val="none"/>
        </w:rPr>
        <w:t xml:space="preserve">招标文件中另有规定的按规定执行。</w:t>
      </w:r>
      <w:r>
        <w:rPr>
          <w:rFonts w:hint="eastAsia" w:ascii="宋体" w:hAnsi="宋体"/>
          <w:bCs/>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76" w:name="_Hlt26954848"/>
      <w:r/>
      <w:bookmarkEnd w:id="176"/>
      <w:r/>
      <w:bookmarkStart w:id="177" w:name="_Hlt26670486"/>
      <w:r/>
      <w:bookmarkEnd w:id="177"/>
      <w:r/>
      <w:bookmarkStart w:id="178" w:name="_Hlt26954731"/>
      <w:r/>
      <w:bookmarkEnd w:id="178"/>
      <w:r/>
      <w:bookmarkStart w:id="179" w:name="_Hlt26954846"/>
      <w:r/>
      <w:bookmarkEnd w:id="179"/>
      <w:r/>
      <w:bookmarkStart w:id="180" w:name="_Hlt26670482"/>
      <w:r/>
      <w:bookmarkEnd w:id="180"/>
      <w:r>
        <w:rPr>
          <w:rFonts w:hint="eastAsia" w:ascii="Arial" w:hAnsi="Arial" w:eastAsia="黑体" w:cs="Arial"/>
          <w:color w:val="000000"/>
          <w:sz w:val="28"/>
          <w:szCs w:val="28"/>
          <w:highlight w:val="none"/>
        </w:rPr>
        <w:t xml:space="preserve">13、技术要求响应及偏离表、商务要求响应及偏离表</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 </w:t>
      </w:r>
      <w:r>
        <w:rPr>
          <w:rFonts w:hint="eastAsia" w:ascii="宋体" w:hAnsi="Arial" w:cs="宋体"/>
          <w:color w:val="000000"/>
          <w:sz w:val="24"/>
          <w:szCs w:val="21"/>
          <w:highlight w:val="none"/>
          <w:lang w:val="zh-CN"/>
        </w:rPr>
        <w:t xml:space="preserve">投标人需对招标文件中的技术要求逐项作出响应或偏离，并说明原因。</w:t>
      </w:r>
      <w:r>
        <w:rPr>
          <w:rFonts w:hint="eastAsia" w:ascii="宋体" w:hAnsi="Arial" w:cs="宋体"/>
          <w:color w:val="000000"/>
          <w:sz w:val="24"/>
          <w:szCs w:val="21"/>
          <w:highlight w:val="none"/>
          <w:lang w:val="zh-CN"/>
        </w:rPr>
      </w:r>
      <w:r/>
    </w:p>
    <w:p>
      <w:pPr>
        <w:pStyle w:val="1023"/>
        <w:ind w:firstLine="480"/>
        <w:spacing w:line="500" w:lineRule="exact"/>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 投标人可在投标文件中提供认为需要的其他技术文件或说明。</w:t>
      </w:r>
      <w:r>
        <w:rPr>
          <w:rFonts w:hint="eastAsia" w:ascii="宋体" w:hAnsi="Arial" w:cs="宋体"/>
          <w:color w:val="000000"/>
          <w:sz w:val="24"/>
          <w:szCs w:val="21"/>
          <w:highlight w:val="none"/>
          <w:lang w:val="zh-CN"/>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14.1 </w:t>
      </w:r>
      <w:r>
        <w:rPr>
          <w:rFonts w:hint="eastAsia" w:ascii="宋体" w:hAnsi="宋体"/>
          <w:color w:val="000000"/>
          <w:sz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14.2 投标人需根据招标文件要求提供培训计划。</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14.3 投标人需根据招标文件要求提供</w:t>
      </w:r>
      <w:r>
        <w:rPr>
          <w:rFonts w:hint="eastAsia" w:ascii="宋体" w:hAnsi="Arial" w:cs="宋体"/>
          <w:color w:val="000000"/>
          <w:sz w:val="24"/>
          <w:szCs w:val="21"/>
          <w:highlight w:val="none"/>
          <w:lang w:val="zh-CN"/>
        </w:rPr>
        <w:t xml:space="preserve">所投标的的主要组成部分、功能设计、实现思路及关键技术等。</w:t>
      </w:r>
      <w:r>
        <w:rPr>
          <w:rFonts w:hint="eastAsia"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81" w:name="_Toc49090510"/>
      <w:r/>
      <w:bookmarkStart w:id="182" w:name="_Toc14577359"/>
      <w:r>
        <w:rPr>
          <w:rFonts w:hint="eastAsia" w:ascii="Arial" w:hAnsi="Arial" w:eastAsia="黑体" w:cs="Arial"/>
          <w:color w:val="000000"/>
          <w:sz w:val="28"/>
          <w:szCs w:val="28"/>
          <w:highlight w:val="none"/>
        </w:rPr>
        <w:t xml:space="preserve">15、投标函和开标一览表</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 投标人应按照招标文件中提供的格式完整、正确填写投标函、开标一览表。</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15.2 对于采用货币报价的项目，开标一览表中的投标总报价应与报价明细表中的投标总报价一致，如不一致，不作为无效投标处理，但评标时按开标一览表中价格为准。</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End w:id="181"/>
      <w:r/>
      <w:bookmarkEnd w:id="182"/>
      <w:r/>
      <w:bookmarkStart w:id="183" w:name="_Toc14577360"/>
      <w:r/>
      <w:bookmarkStart w:id="184" w:name="_Toc49090511"/>
      <w:r>
        <w:rPr>
          <w:rFonts w:hint="eastAsia" w:ascii="Arial" w:hAnsi="Arial" w:eastAsia="黑体" w:cs="Arial"/>
          <w:color w:val="000000"/>
          <w:sz w:val="28"/>
          <w:szCs w:val="28"/>
          <w:highlight w:val="none"/>
        </w:rPr>
        <w:t xml:space="preserve">16、投标有效期</w:t>
      </w:r>
      <w:bookmarkEnd w:id="183"/>
      <w:r/>
      <w:bookmarkEnd w:id="184"/>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16.1投标有效期为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规定的开标之日后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。投标有效期比规定短的将被视为未实质性响应招标文件而予以拒绝。</w:t>
      </w:r>
      <w:r>
        <w:rPr>
          <w:rFonts w:hint="eastAsia" w:ascii="宋体" w:hAnsi="宋体"/>
          <w:bCs/>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、投标有效期的延长</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的这一要求而放弃投标，同意延长投标有效期的投标人既不能要求也不允许修改其投标文件。</w:t>
      </w:r>
      <w:r>
        <w:rPr>
          <w:rFonts w:hint="eastAsia" w:ascii="宋体" w:hAnsi="宋体"/>
          <w:color w:val="000000"/>
          <w:sz w:val="24"/>
          <w:highlight w:val="none"/>
        </w:rPr>
        <w:t xml:space="preserve">受投标有效期约束的所有权利与义务均延长至新的有效期</w:t>
      </w:r>
      <w:r>
        <w:rPr>
          <w:rFonts w:hint="eastAsia"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23"/>
        <w:ind w:firstLine="643"/>
        <w:keepLines/>
        <w:keepNext/>
        <w:spacing w:line="500" w:lineRule="exact"/>
        <w:rPr>
          <w:rFonts w:hint="eastAsia"/>
          <w:b/>
          <w:bCs/>
          <w:color w:val="000000"/>
          <w:sz w:val="32"/>
          <w:szCs w:val="32"/>
          <w:highlight w:val="none"/>
        </w:rPr>
        <w:outlineLvl w:val="2"/>
      </w:pPr>
      <w:r/>
      <w:bookmarkStart w:id="185" w:name="_Hlt26954739"/>
      <w:r/>
      <w:bookmarkEnd w:id="185"/>
      <w:r/>
      <w:bookmarkStart w:id="186" w:name="_Hlt26954852"/>
      <w:r/>
      <w:bookmarkEnd w:id="186"/>
      <w:r/>
      <w:bookmarkStart w:id="187" w:name="_Toc120614217"/>
      <w:r/>
      <w:bookmarkStart w:id="188" w:name="_Toc513029224"/>
      <w:r/>
      <w:bookmarkStart w:id="189" w:name="_Toc16938540"/>
      <w:r/>
      <w:bookmarkStart w:id="190" w:name="_Toc20823296"/>
      <w:r>
        <w:rPr>
          <w:rFonts w:hint="eastAsia"/>
          <w:b/>
          <w:bCs/>
          <w:color w:val="000000"/>
          <w:sz w:val="32"/>
          <w:szCs w:val="32"/>
          <w:highlight w:val="none"/>
        </w:rPr>
        <w:t xml:space="preserve">四、投标文件的递交</w:t>
      </w:r>
      <w:bookmarkEnd w:id="187"/>
      <w:r/>
      <w:bookmarkEnd w:id="188"/>
      <w:r/>
      <w:bookmarkEnd w:id="189"/>
      <w:r/>
      <w:bookmarkEnd w:id="190"/>
      <w:r>
        <w:rPr>
          <w:rFonts w:hint="eastAsia"/>
          <w:b/>
          <w:bCs/>
          <w:color w:val="000000"/>
          <w:sz w:val="32"/>
          <w:szCs w:val="32"/>
          <w:highlight w:val="none"/>
        </w:rPr>
      </w:r>
      <w:r/>
    </w:p>
    <w:p>
      <w:pPr>
        <w:pStyle w:val="1023"/>
        <w:ind w:firstLine="420"/>
        <w:keepLines/>
        <w:keepNext/>
        <w:spacing w:line="500" w:lineRule="exact"/>
        <w:rPr>
          <w:rFonts w:hint="eastAsia" w:ascii="黑体" w:hAnsi="Arial" w:eastAsia="黑体" w:cs="Arial"/>
          <w:color w:val="000000"/>
          <w:sz w:val="28"/>
          <w:szCs w:val="28"/>
          <w:highlight w:val="none"/>
        </w:rPr>
        <w:outlineLvl w:val="3"/>
      </w:pPr>
      <w:r/>
      <w:bookmarkStart w:id="191" w:name="_Toc513029225"/>
      <w:r/>
      <w:bookmarkStart w:id="192" w:name="_Toc16938541"/>
      <w:r/>
      <w:bookmarkStart w:id="193" w:name="_Toc462564084"/>
      <w:r/>
      <w:bookmarkStart w:id="194"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91"/>
      <w:r/>
      <w:bookmarkEnd w:id="192"/>
      <w:r/>
      <w:bookmarkEnd w:id="193"/>
      <w:r/>
      <w:bookmarkEnd w:id="194"/>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195" w:name="_Toc20823298"/>
      <w:r/>
      <w:bookmarkStart w:id="196" w:name="_Toc16938542"/>
      <w:r/>
      <w:bookmarkStart w:id="197" w:name="_Toc513029226"/>
      <w:r>
        <w:rPr>
          <w:rFonts w:ascii="宋体" w:hAnsi="宋体"/>
          <w:bCs/>
          <w:color w:val="000000"/>
          <w:sz w:val="24"/>
          <w:szCs w:val="21"/>
          <w:highlight w:val="none"/>
        </w:rPr>
      </w:r>
      <w:r/>
    </w:p>
    <w:p>
      <w:pPr>
        <w:pStyle w:val="1023"/>
        <w:ind w:firstLine="420"/>
        <w:keepLines/>
        <w:keepNext/>
        <w:spacing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195"/>
      <w:r/>
      <w:bookmarkEnd w:id="196"/>
      <w:r/>
      <w:bookmarkEnd w:id="197"/>
      <w:r>
        <w:rPr>
          <w:rFonts w:hint="eastAsia" w:ascii="宋体" w:hAnsi="宋体" w:eastAsia="黑体" w:cs="Arial"/>
          <w:bCs/>
          <w:color w:val="000000"/>
          <w:sz w:val="24"/>
          <w:szCs w:val="28"/>
          <w:highlight w:val="none"/>
        </w:rPr>
      </w:r>
      <w:r/>
    </w:p>
    <w:p>
      <w:pPr>
        <w:pStyle w:val="1023"/>
        <w:ind w:firstLine="480"/>
        <w:spacing w:line="500" w:lineRule="exact"/>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 投标人上传电子投标文件的时间不得迟于招标公告中规定的投标截止时间。</w:t>
      </w: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i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198" w:name="_Toc16938543"/>
      <w:r/>
      <w:bookmarkStart w:id="199" w:name="_Toc20823299"/>
      <w:r/>
      <w:bookmarkStart w:id="200"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198"/>
      <w:r/>
      <w:bookmarkEnd w:id="199"/>
      <w:r/>
      <w:bookmarkEnd w:id="200"/>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201" w:name="_Toc16938544"/>
      <w:r/>
      <w:bookmarkStart w:id="202" w:name="_Toc20823300"/>
      <w:r/>
      <w:bookmarkStart w:id="203"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201"/>
      <w:r/>
      <w:bookmarkEnd w:id="202"/>
      <w:r/>
      <w:bookmarkEnd w:id="203"/>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 投标文件的撤回</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电子投标文件的撤回</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 投标人撤回电子投标文件，则认为其不再参与本项目投标活动。</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 投标文件的修改</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 在投标截止时间之后，投标人不得对其电子投标文件作任何修改。</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1023"/>
        <w:ind w:firstLine="482"/>
        <w:keepLines/>
        <w:keepNext/>
        <w:spacing w:line="500" w:lineRule="exact"/>
        <w:rPr>
          <w:rFonts w:hint="eastAsia"/>
          <w:b/>
          <w:bCs/>
          <w:color w:val="000000"/>
          <w:sz w:val="32"/>
          <w:szCs w:val="32"/>
          <w:highlight w:val="none"/>
        </w:rPr>
        <w:outlineLvl w:val="2"/>
      </w:pPr>
      <w:r/>
      <w:bookmarkStart w:id="204" w:name="_Toc20823301"/>
      <w:r/>
      <w:bookmarkStart w:id="205" w:name="_Toc16938545"/>
      <w:r/>
      <w:bookmarkStart w:id="206" w:name="_Toc120614218"/>
      <w:r/>
      <w:bookmarkStart w:id="207" w:name="_Toc513029229"/>
      <w:r>
        <w:rPr>
          <w:rFonts w:hint="eastAsia"/>
          <w:b/>
          <w:bCs/>
          <w:color w:val="000000"/>
          <w:sz w:val="32"/>
          <w:szCs w:val="32"/>
          <w:highlight w:val="none"/>
        </w:rPr>
        <w:t xml:space="preserve">五、开标与评标</w:t>
      </w:r>
      <w:bookmarkEnd w:id="204"/>
      <w:r/>
      <w:bookmarkEnd w:id="205"/>
      <w:r/>
      <w:bookmarkEnd w:id="206"/>
      <w:r/>
      <w:bookmarkEnd w:id="207"/>
      <w:r>
        <w:rPr>
          <w:rFonts w:hint="eastAsia"/>
          <w:b/>
          <w:bCs/>
          <w:color w:val="000000"/>
          <w:sz w:val="32"/>
          <w:szCs w:val="32"/>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208" w:name="_Toc16938546"/>
      <w:r/>
      <w:bookmarkStart w:id="209" w:name="_Toc513029230"/>
      <w:r/>
      <w:bookmarkStart w:id="210" w:name="_Toc20823302"/>
      <w:r>
        <w:rPr>
          <w:rFonts w:hint="eastAsia" w:ascii="Arial" w:hAnsi="Arial" w:eastAsia="黑体" w:cs="Arial"/>
          <w:color w:val="000000"/>
          <w:sz w:val="28"/>
          <w:szCs w:val="28"/>
          <w:highlight w:val="none"/>
        </w:rPr>
        <w:t xml:space="preserve">22、开标</w:t>
      </w:r>
      <w:bookmarkEnd w:id="208"/>
      <w:r/>
      <w:bookmarkEnd w:id="209"/>
      <w:r/>
      <w:bookmarkEnd w:id="210"/>
      <w:r>
        <w:rPr>
          <w:rFonts w:hint="eastAsia" w:ascii="Arial" w:hAnsi="Arial" w:eastAsia="黑体" w:cs="Arial"/>
          <w:color w:val="000000"/>
          <w:sz w:val="28"/>
          <w:szCs w:val="28"/>
          <w:highlight w:val="none"/>
        </w:rPr>
      </w:r>
      <w:r/>
    </w:p>
    <w:p>
      <w:pPr>
        <w:pStyle w:val="1023"/>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highlight w:val="none"/>
        </w:rPr>
        <w:t xml:space="preserve">。投标人应当按照《操作手册》规定，</w:t>
      </w:r>
      <w:r>
        <w:rPr>
          <w:rFonts w:ascii="宋体" w:hAnsi="宋体"/>
          <w:color w:val="000000"/>
          <w:sz w:val="24"/>
          <w:highlight w:val="none"/>
        </w:rPr>
        <w:t xml:space="preserve">参加开标活动</w:t>
      </w:r>
      <w:r>
        <w:rPr>
          <w:rFonts w:hint="eastAsia" w:ascii="宋体" w:hAnsi="宋体"/>
          <w:color w:val="000000"/>
          <w:sz w:val="24"/>
          <w:highlight w:val="none"/>
        </w:rPr>
        <w:t xml:space="preserve">和在苏采云系统规定的时间内对投标文件进行解密。</w:t>
      </w:r>
      <w:r>
        <w:rPr>
          <w:rFonts w:hint="eastAsia"/>
          <w:color w:val="000000"/>
          <w:szCs w:val="21"/>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2</w:t>
      </w:r>
      <w:r>
        <w:rPr>
          <w:rFonts w:hint="eastAsia" w:ascii="宋体" w:hAnsi="宋体"/>
          <w:bCs/>
          <w:color w:val="000000"/>
          <w:sz w:val="24"/>
          <w:highlight w:val="none"/>
        </w:rPr>
        <w:t xml:space="preserve">.2</w:t>
      </w:r>
      <w:r>
        <w:rPr>
          <w:rFonts w:hint="eastAsia" w:ascii="宋体" w:hAnsi="宋体"/>
          <w:color w:val="000000"/>
          <w:sz w:val="24"/>
          <w:highlight w:val="none"/>
        </w:rPr>
        <w:t xml:space="preserve">开标仪式由</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组织。苏采云系统将自动对</w:t>
      </w:r>
      <w:r>
        <w:rPr>
          <w:rFonts w:ascii="宋体" w:hAnsi="宋体"/>
          <w:color w:val="000000"/>
          <w:sz w:val="24"/>
          <w:highlight w:val="none"/>
        </w:rPr>
        <w:t xml:space="preserve">项目进行开标，</w:t>
      </w:r>
      <w:r>
        <w:rPr>
          <w:rFonts w:hint="eastAsia" w:ascii="宋体" w:hAnsi="宋体"/>
          <w:color w:val="000000"/>
          <w:sz w:val="24"/>
          <w:highlight w:val="none"/>
        </w:rPr>
        <w:t xml:space="preserve">并宣布各投标人名称和投标价格。</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2</w:t>
      </w:r>
      <w:r>
        <w:rPr>
          <w:rFonts w:hint="eastAsia" w:ascii="宋体" w:hAnsi="宋体"/>
          <w:color w:val="000000"/>
          <w:sz w:val="24"/>
          <w:highlight w:val="none"/>
        </w:rPr>
        <w:t xml:space="preserve">.4投标人如果对开标过程和开标记录有疑义，应当根据《操作手册》规定提出，如苏采云系统中《开标记录表》宣布后5分钟内未提出的，视同认可开标结果。</w:t>
      </w:r>
      <w:r>
        <w:rPr>
          <w:rFonts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211" w:name="_Toc16938547"/>
      <w:r/>
      <w:bookmarkStart w:id="212" w:name="_Toc20823303"/>
      <w:r/>
      <w:bookmarkStart w:id="213"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1023"/>
        <w:spacing w:line="500" w:lineRule="exact"/>
        <w:rPr>
          <w:rFonts w:hint="eastAsia" w:ascii="宋体" w:hAnsi="宋体"/>
          <w:b/>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b/>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将立即组织评标委员会（以下简称评委会）进行评标。</w:t>
      </w:r>
      <w:r>
        <w:rPr>
          <w:rFonts w:hint="eastAsia" w:ascii="宋体" w:hAnsi="宋体"/>
          <w:b/>
          <w:color w:val="000000"/>
          <w:sz w:val="24"/>
          <w:highlight w:val="none"/>
        </w:rPr>
      </w:r>
      <w:r/>
    </w:p>
    <w:p>
      <w:pPr>
        <w:pStyle w:val="1023"/>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.2 评委会由采购人代表和有关技术、经济等方面的专家组成，且人员构成符合政府采购有关规定。</w:t>
      </w:r>
      <w:r>
        <w:rPr>
          <w:rFonts w:hint="eastAsia" w:ascii="宋体" w:hAnsi="宋体"/>
          <w:color w:val="000000"/>
          <w:sz w:val="24"/>
          <w:highlight w:val="none"/>
        </w:rPr>
      </w:r>
      <w:r/>
    </w:p>
    <w:p>
      <w:pPr>
        <w:pStyle w:val="1023"/>
        <w:spacing w:line="500" w:lineRule="exact"/>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w:t>
      </w:r>
      <w:r>
        <w:rPr>
          <w:rFonts w:ascii="宋体" w:hAnsi="宋体"/>
          <w:color w:val="000000"/>
          <w:sz w:val="24"/>
          <w:highlight w:val="none"/>
        </w:rPr>
        <w:t xml:space="preserve">3</w:t>
      </w:r>
      <w:r>
        <w:rPr>
          <w:rFonts w:hint="eastAsia" w:ascii="宋体" w:hAnsi="宋体"/>
          <w:color w:val="000000"/>
          <w:sz w:val="24"/>
          <w:highlight w:val="none"/>
        </w:rPr>
        <w:t xml:space="preserve">.3评委会独立工作，负责评审所有投标文件并确定中标侯选人。</w:t>
      </w:r>
      <w:r>
        <w:rPr>
          <w:rFonts w:hint="eastAsia" w:ascii="宋体" w:hAnsi="宋体"/>
          <w:color w:val="000000"/>
          <w:sz w:val="24"/>
          <w:highlight w:val="none"/>
        </w:rPr>
      </w:r>
      <w:r/>
    </w:p>
    <w:p>
      <w:pPr>
        <w:pStyle w:val="1023"/>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bookmarkEnd w:id="211"/>
      <w:r/>
      <w:bookmarkEnd w:id="212"/>
      <w:r/>
      <w:bookmarkEnd w:id="213"/>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在评标过程中，投标人不得以任何行为影响评标过程，否则其投标文件将被作为无效投标文件。</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w:t>
      </w:r>
      <w:r>
        <w:rPr>
          <w:rFonts w:ascii="宋体" w:hAnsi="宋体"/>
          <w:color w:val="000000"/>
          <w:sz w:val="24"/>
          <w:highlight w:val="none"/>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和评标委员会不向未中标的投标人解释未中标原因，也不公布评标过程中的相关细节。</w:t>
      </w:r>
      <w:r>
        <w:rPr>
          <w:rFonts w:hint="eastAsia"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4</w:t>
      </w:r>
      <w:r>
        <w:rPr>
          <w:rFonts w:hint="eastAsia" w:ascii="宋体" w:hAnsi="宋体"/>
          <w:color w:val="000000"/>
          <w:sz w:val="24"/>
          <w:highlight w:val="none"/>
        </w:rPr>
        <w:t xml:space="preserve">.</w:t>
      </w:r>
      <w:r>
        <w:rPr>
          <w:rFonts w:ascii="宋体" w:hAnsi="宋体"/>
          <w:color w:val="000000"/>
          <w:sz w:val="24"/>
          <w:highlight w:val="none"/>
        </w:rPr>
        <w:t xml:space="preserve">4</w:t>
      </w:r>
      <w:r>
        <w:rPr>
          <w:rFonts w:hint="eastAsia" w:ascii="宋体" w:hAnsi="宋体"/>
          <w:color w:val="000000"/>
          <w:sz w:val="24"/>
          <w:highlight w:val="none"/>
        </w:rPr>
        <w:t xml:space="preserve"> 采用综合评分法的项目，未中标的投标人可于中标结果公告期限届满之日起通过苏采云系统查看自己的评审得分及排序情况。</w:t>
      </w:r>
      <w:r>
        <w:rPr>
          <w:rFonts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bookmarkStart w:id="214" w:name="_Toc16938548"/>
      <w:r/>
      <w:bookmarkStart w:id="215" w:name="_Toc513029232"/>
      <w:r/>
      <w:bookmarkStart w:id="216"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214"/>
      <w:r/>
      <w:bookmarkEnd w:id="215"/>
      <w:r/>
      <w:bookmarkEnd w:id="216"/>
      <w:r>
        <w:rPr>
          <w:rFonts w:hint="eastAsia" w:ascii="Arial" w:hAnsi="Arial" w:eastAsia="黑体" w:cs="Arial"/>
          <w:color w:val="000000"/>
          <w:sz w:val="28"/>
          <w:szCs w:val="28"/>
          <w:highlight w:val="none"/>
        </w:rPr>
      </w:r>
      <w:r/>
    </w:p>
    <w:p>
      <w:pPr>
        <w:pStyle w:val="1023"/>
        <w:ind w:firstLine="480"/>
        <w:spacing w:line="500" w:lineRule="exact"/>
        <w:rPr>
          <w:rFonts w:ascii="宋体" w:hAnsi="宋体"/>
          <w:color w:val="000000"/>
          <w:sz w:val="24"/>
          <w:highlight w:val="none"/>
        </w:rPr>
      </w:pPr>
      <w:r/>
      <w:bookmarkStart w:id="217" w:name="_Toc16938549"/>
      <w:r/>
      <w:bookmarkStart w:id="218" w:name="_Toc513029233"/>
      <w:r/>
      <w:bookmarkStart w:id="219" w:name="_Toc20823305"/>
      <w:r>
        <w:rPr>
          <w:rFonts w:ascii="宋体" w:hAnsi="宋体"/>
          <w:color w:val="000000"/>
          <w:sz w:val="24"/>
          <w:highlight w:val="none"/>
        </w:rPr>
        <w:t xml:space="preserve">25</w:t>
      </w:r>
      <w:r>
        <w:rPr>
          <w:rFonts w:hint="eastAsia" w:ascii="宋体" w:hAnsi="宋体"/>
          <w:color w:val="000000"/>
          <w:sz w:val="24"/>
          <w:highlight w:val="none"/>
        </w:rPr>
        <w:t xml:space="preserve">.</w:t>
      </w:r>
      <w:r>
        <w:rPr>
          <w:rFonts w:ascii="宋体" w:hAnsi="宋体"/>
          <w:color w:val="000000"/>
          <w:sz w:val="24"/>
          <w:highlight w:val="none"/>
        </w:rPr>
        <w:t xml:space="preserve">1</w:t>
      </w:r>
      <w:r>
        <w:rPr>
          <w:rFonts w:hint="eastAsia" w:ascii="宋体" w:hAnsi="宋体"/>
          <w:color w:val="000000"/>
          <w:sz w:val="24"/>
          <w:highlight w:val="none"/>
        </w:rPr>
        <w:t xml:space="preserve">评标期间，评委会对投标文件中含义不明确、同类问题表述不一致或者有明显文字和计算错误的内容</w:t>
      </w:r>
      <w:r>
        <w:rPr>
          <w:rFonts w:ascii="宋体" w:hAnsi="宋体"/>
          <w:color w:val="000000"/>
          <w:sz w:val="24"/>
          <w:highlight w:val="none"/>
        </w:rPr>
        <w:t xml:space="preserve"> </w:t>
      </w:r>
      <w:r>
        <w:rPr>
          <w:rFonts w:hint="eastAsia" w:ascii="宋体" w:hAnsi="宋体"/>
          <w:color w:val="000000"/>
          <w:sz w:val="24"/>
          <w:highlight w:val="none"/>
        </w:rPr>
        <w:t xml:space="preserve">，有权要求投标人作出必要的澄清、说明或者补正。</w:t>
      </w:r>
      <w:r>
        <w:rPr>
          <w:rFonts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投标人的澄清、说明或者补正不得超出投标文件的范围或者改变投标文件的实质性内容。</w:t>
      </w:r>
      <w:r>
        <w:rPr>
          <w:rFonts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评标</w:t>
      </w:r>
      <w:r>
        <w:rPr>
          <w:rFonts w:ascii="宋体" w:hAnsi="宋体"/>
          <w:color w:val="000000"/>
          <w:sz w:val="24"/>
          <w:highlight w:val="none"/>
        </w:rPr>
        <w:t xml:space="preserve">委员会并非对每个投标人都做澄清要求</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接到评委会澄清、说明和补正要求的投标人如未按规定做出澄清、说明和补正，其风险由投标人自行承担。</w:t>
      </w:r>
      <w:r>
        <w:rPr>
          <w:rFonts w:hint="eastAsia" w:ascii="宋体" w:hAnsi="宋体"/>
          <w:color w:val="000000"/>
          <w:sz w:val="24"/>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217"/>
      <w:r/>
      <w:bookmarkEnd w:id="218"/>
      <w:r/>
      <w:bookmarkEnd w:id="219"/>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1023"/>
        <w:ind w:firstLine="480"/>
        <w:spacing w:after="0" w:line="48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采购人在进行资格性审查的同时，将在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查询投标人的信用记录，以确定投标人是否具备投标资格,查询结果留存并归档。</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未通过资格审查或符合性审查的投标人，</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w:t>
      </w:r>
      <w:r>
        <w:rPr>
          <w:rFonts w:hint="eastAsia" w:ascii="宋体" w:hAnsi="宋体"/>
          <w:bCs/>
          <w:color w:val="000000"/>
          <w:sz w:val="24"/>
          <w:szCs w:val="21"/>
          <w:highlight w:val="none"/>
          <w:lang w:eastAsia="zh-CN"/>
        </w:rPr>
        <w:t xml:space="preserve">采购代理机构</w:t>
      </w:r>
      <w:r>
        <w:rPr>
          <w:rFonts w:hint="eastAsia" w:ascii="宋体" w:hAnsi="宋体"/>
          <w:bCs/>
          <w:color w:val="000000"/>
          <w:sz w:val="24"/>
          <w:szCs w:val="21"/>
          <w:highlight w:val="none"/>
        </w:rPr>
        <w:t xml:space="preserve">将不再告知未通过资格审查或符合性审查的原因。</w:t>
      </w:r>
      <w:r>
        <w:rPr>
          <w:rFonts w:hint="eastAsia" w:ascii="宋体" w:hAnsi="宋体"/>
          <w:bCs/>
          <w:color w:val="000000"/>
          <w:sz w:val="24"/>
          <w:szCs w:val="21"/>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（3）单价金额小数点或者百分比有明显错位的，以开标一览表的总价为准，并修改单价。</w:t>
      </w:r>
      <w:r>
        <w:rPr>
          <w:rFonts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告知</w:t>
      </w:r>
      <w:r>
        <w:rPr>
          <w:rFonts w:ascii="宋体" w:hAnsi="宋体"/>
          <w:bCs/>
          <w:color w:val="000000"/>
          <w:sz w:val="24"/>
          <w:szCs w:val="21"/>
          <w:highlight w:val="none"/>
        </w:rPr>
        <w:t xml:space="preserve">投标人，</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1023"/>
        <w:ind w:firstLine="480"/>
        <w:spacing w:line="500" w:lineRule="exact"/>
        <w:rPr>
          <w:rFonts w:ascii="宋体" w:hAnsi="宋体"/>
          <w:color w:val="000000"/>
          <w:sz w:val="24"/>
          <w:szCs w:val="21"/>
          <w:highlight w:val="none"/>
        </w:rPr>
      </w:pPr>
      <w:r/>
      <w:bookmarkStart w:id="220" w:name="_Toc513029234"/>
      <w:r/>
      <w:bookmarkStart w:id="221" w:name="_Toc20823306"/>
      <w:r/>
      <w:bookmarkStart w:id="222"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highlight w:val="none"/>
        </w:rPr>
        <w:t xml:space="preserve">按照招标文件规定的方式（招标文件未规定的通过</w:t>
      </w:r>
      <w:r>
        <w:rPr>
          <w:rFonts w:ascii="宋体" w:hAnsi="宋体"/>
          <w:color w:val="000000"/>
          <w:sz w:val="24"/>
          <w:szCs w:val="21"/>
          <w:highlight w:val="none"/>
        </w:rPr>
        <w:t xml:space="preserve">随机抽取</w:t>
      </w:r>
      <w:r>
        <w:rPr>
          <w:rFonts w:hint="eastAsia" w:ascii="宋体" w:hAnsi="宋体"/>
          <w:color w:val="000000"/>
          <w:sz w:val="24"/>
          <w:szCs w:val="21"/>
          <w:highlight w:val="none"/>
        </w:rPr>
        <w:t xml:space="preserve">的</w:t>
      </w:r>
      <w:r>
        <w:rPr>
          <w:rFonts w:ascii="宋体" w:hAnsi="宋体"/>
          <w:color w:val="000000"/>
          <w:sz w:val="24"/>
          <w:szCs w:val="21"/>
          <w:highlight w:val="none"/>
        </w:rPr>
        <w:t xml:space="preserve">方式</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确定一个参加评标的投标人，其他投标无效。</w:t>
      </w:r>
      <w:r>
        <w:rPr>
          <w:rFonts w:ascii="宋体" w:hAnsi="宋体"/>
          <w:color w:val="000000"/>
          <w:sz w:val="24"/>
          <w:szCs w:val="21"/>
          <w:highlight w:val="none"/>
        </w:rPr>
      </w:r>
      <w:r/>
    </w:p>
    <w:p>
      <w:pPr>
        <w:pStyle w:val="1023"/>
        <w:ind w:firstLine="480"/>
        <w:spacing w:line="500" w:lineRule="exact"/>
        <w:rPr>
          <w:rFonts w:ascii="宋体" w:hAnsi="宋体"/>
          <w:color w:val="000000"/>
          <w:sz w:val="24"/>
          <w:szCs w:val="21"/>
          <w:highlight w:val="none"/>
        </w:rPr>
      </w:pPr>
      <w:r>
        <w:rPr>
          <w:rFonts w:ascii="宋体" w:hAnsi="宋体"/>
          <w:color w:val="000000"/>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，其他同品牌投标人不作为中标候选人。</w:t>
      </w:r>
      <w:r>
        <w:rPr>
          <w:rFonts w:ascii="宋体" w:hAnsi="宋体"/>
          <w:color w:val="000000"/>
          <w:sz w:val="24"/>
          <w:szCs w:val="21"/>
          <w:highlight w:val="none"/>
        </w:rPr>
      </w:r>
      <w:r/>
    </w:p>
    <w:p>
      <w:pPr>
        <w:pStyle w:val="1023"/>
        <w:ind w:firstLine="420"/>
        <w:spacing w:line="500" w:lineRule="exact"/>
        <w:rPr>
          <w:rFonts w:hint="eastAsia" w:ascii="宋体" w:hAnsi="宋体"/>
          <w:color w:val="000000"/>
          <w:sz w:val="24"/>
          <w:szCs w:val="21"/>
          <w:highlight w:val="none"/>
        </w:rPr>
      </w:pPr>
      <w:r>
        <w:rPr>
          <w:rFonts w:ascii="宋体" w:hAnsi="宋体"/>
          <w:color w:val="000000"/>
          <w:sz w:val="24"/>
          <w:szCs w:val="21"/>
          <w:highlight w:val="none"/>
        </w:rPr>
        <w:t xml:space="preserve">非单一产品采购项目，招标文件中</w:t>
      </w:r>
      <w:r>
        <w:rPr>
          <w:rFonts w:hint="eastAsia" w:ascii="宋体" w:hAnsi="宋体"/>
          <w:color w:val="000000"/>
          <w:sz w:val="24"/>
          <w:szCs w:val="21"/>
          <w:highlight w:val="none"/>
        </w:rPr>
        <w:t xml:space="preserve">将载明其中的核心产品</w:t>
      </w:r>
      <w:r>
        <w:rPr>
          <w:rFonts w:ascii="宋体" w:hAnsi="宋体"/>
          <w:color w:val="000000"/>
          <w:sz w:val="24"/>
          <w:szCs w:val="21"/>
          <w:highlight w:val="none"/>
        </w:rPr>
        <w:t xml:space="preserve">。多家投标人提供的核心产品品牌相同的，按前两款规定处理。</w:t>
      </w:r>
      <w:r>
        <w:rPr>
          <w:rFonts w:hint="eastAsia" w:ascii="宋体" w:hAnsi="宋体"/>
          <w:color w:val="000000"/>
          <w:sz w:val="24"/>
          <w:szCs w:val="21"/>
          <w:highlight w:val="none"/>
        </w:rPr>
      </w:r>
      <w:r/>
    </w:p>
    <w:p>
      <w:pPr>
        <w:pStyle w:val="1023"/>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1023"/>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0"/>
      <w:r/>
      <w:bookmarkEnd w:id="221"/>
      <w:r/>
      <w:bookmarkEnd w:id="222"/>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1023"/>
        <w:ind w:firstLine="480"/>
        <w:spacing w:line="500" w:lineRule="exact"/>
        <w:rPr>
          <w:rFonts w:hint="eastAsia" w:ascii="宋体" w:hAnsi="宋体"/>
          <w:bCs/>
          <w:color w:val="000000"/>
          <w:sz w:val="24"/>
          <w:szCs w:val="21"/>
          <w:highlight w:val="none"/>
        </w:rPr>
      </w:pPr>
      <w:r/>
      <w:bookmarkStart w:id="223" w:name="_Toc20823307"/>
      <w:r/>
      <w:bookmarkStart w:id="224" w:name="_Toc513029235"/>
      <w:r/>
      <w:bookmarkStart w:id="225" w:name="_Toc16938551"/>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.1无效投标条款</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 投标人在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规定的时间内未成功解密电子投标文件的。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投标人未按照招标文件要求上传电子投标文件的。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同一投标人提交两个</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含</w:t>
      </w:r>
      <w:r>
        <w:rPr>
          <w:rFonts w:ascii="宋体" w:hAnsi="宋体"/>
          <w:bCs/>
          <w:color w:val="000000"/>
          <w:sz w:val="24"/>
          <w:szCs w:val="21"/>
          <w:highlight w:val="none"/>
        </w:rPr>
        <w:t xml:space="preserve">两个）</w:t>
      </w:r>
      <w:r>
        <w:rPr>
          <w:rFonts w:hint="eastAsia" w:ascii="宋体" w:hAnsi="宋体"/>
          <w:bCs/>
          <w:color w:val="000000"/>
          <w:sz w:val="24"/>
          <w:szCs w:val="21"/>
          <w:highlight w:val="none"/>
        </w:rPr>
        <w:t xml:space="preserve">以上不同的</w:t>
      </w:r>
      <w:r>
        <w:rPr>
          <w:rFonts w:ascii="宋体" w:hAnsi="宋体"/>
          <w:bCs/>
          <w:color w:val="000000"/>
          <w:sz w:val="24"/>
          <w:szCs w:val="21"/>
          <w:highlight w:val="none"/>
        </w:rPr>
        <w:t xml:space="preserve">投标报价的。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投标人不具备招标文件中规定资格要求的。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投标人的报价超过了采购预算或最高限价的。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i/>
          <w:color w:val="000000"/>
          <w:sz w:val="24"/>
          <w:szCs w:val="21"/>
          <w:highlight w:val="none"/>
          <w:u w:val="singl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未通过符合性审查的。</w:t>
      </w:r>
      <w:r>
        <w:rPr>
          <w:rFonts w:hint="eastAsia" w:ascii="宋体" w:hAnsi="宋体"/>
          <w:bCs/>
          <w:i/>
          <w:color w:val="000000"/>
          <w:sz w:val="24"/>
          <w:szCs w:val="21"/>
          <w:highlight w:val="none"/>
          <w:u w:val="single"/>
        </w:rPr>
      </w:r>
      <w:r/>
    </w:p>
    <w:p>
      <w:pPr>
        <w:pStyle w:val="1023"/>
        <w:ind w:firstLine="360"/>
        <w:spacing w:line="500" w:lineRule="exact"/>
        <w:rPr>
          <w:rFonts w:hint="eastAsia" w:ascii="宋体" w:hAnsi="宋体"/>
          <w:bCs/>
          <w:iCs/>
          <w:color w:val="000000"/>
          <w:sz w:val="24"/>
          <w:szCs w:val="21"/>
          <w:highlight w:val="none"/>
          <w:u w:val="single"/>
        </w:rPr>
      </w:pPr>
      <w:r>
        <w:rPr>
          <w:rFonts w:hint="eastAsia" w:ascii="宋体" w:hAnsi="宋体"/>
          <w:bCs/>
          <w:color w:val="000000"/>
          <w:sz w:val="24"/>
          <w:szCs w:val="21"/>
          <w:highlight w:val="none"/>
        </w:rPr>
        <w:t xml:space="preserve"> 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不符合招标文件中规定的实质性要求和条件的。</w:t>
      </w:r>
      <w:r>
        <w:rPr>
          <w:rFonts w:hint="eastAsia" w:ascii="宋体" w:hAnsi="宋体"/>
          <w:bCs/>
          <w:iCs/>
          <w:color w:val="000000"/>
          <w:sz w:val="24"/>
          <w:szCs w:val="21"/>
          <w:highlight w:val="none"/>
          <w:u w:val="singl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rPr>
        <w:t xml:space="preserve">投标人被</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w:t>
      </w:r>
      <w:r>
        <w:rPr>
          <w:rFonts w:hint="eastAsia" w:ascii="宋体" w:hAnsi="宋体"/>
          <w:bCs/>
          <w:color w:val="000000"/>
          <w:sz w:val="24"/>
          <w:szCs w:val="21"/>
          <w:highlight w:val="none"/>
        </w:rPr>
        <w:t xml:space="preserve">后发现投标人存在其他不符合《中华人民共和国政府采购法》第二十二条规定条件的信用记录。</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9</w:t>
      </w:r>
      <w:r>
        <w:rPr>
          <w:rFonts w:hint="eastAsia" w:ascii="宋体" w:hAnsi="宋体"/>
          <w:bCs/>
          <w:color w:val="000000"/>
          <w:sz w:val="24"/>
          <w:szCs w:val="21"/>
          <w:highlight w:val="none"/>
        </w:rPr>
        <w:t xml:space="preserve">  投标文件含有采购人不能接受的附加条件的。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w:t>
      </w:r>
      <w:r>
        <w:rPr>
          <w:rFonts w:ascii="宋体" w:hAnsi="宋体"/>
          <w:bCs/>
          <w:color w:val="000000"/>
          <w:sz w:val="24"/>
          <w:szCs w:val="21"/>
          <w:highlight w:val="none"/>
        </w:rPr>
        <w:t xml:space="preserve">10</w:t>
      </w:r>
      <w:r>
        <w:rPr>
          <w:rFonts w:hint="eastAsia" w:ascii="宋体" w:hAnsi="宋体"/>
          <w:bCs/>
          <w:color w:val="000000"/>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1</w:t>
      </w:r>
      <w:r>
        <w:rPr>
          <w:rFonts w:hint="eastAsia" w:ascii="宋体" w:hAnsi="宋体"/>
          <w:bCs/>
          <w:color w:val="000000"/>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 投标文件未按照招标文件要求加盖CA电子公章的。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.1.1</w:t>
      </w:r>
      <w:r>
        <w:rPr>
          <w:rFonts w:ascii="宋体" w:hAnsi="宋体"/>
          <w:bCs/>
          <w:color w:val="000000"/>
          <w:sz w:val="24"/>
          <w:szCs w:val="21"/>
          <w:highlight w:val="none"/>
        </w:rPr>
        <w:t xml:space="preserve">3</w:t>
      </w:r>
      <w:r>
        <w:rPr>
          <w:rFonts w:hint="eastAsia" w:ascii="宋体" w:hAnsi="宋体"/>
          <w:bCs/>
          <w:color w:val="000000"/>
          <w:sz w:val="24"/>
          <w:szCs w:val="21"/>
          <w:highlight w:val="none"/>
        </w:rPr>
        <w:t xml:space="preserve">其他法律、法规及本招标文件规定的属无效投标的情形。</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.2废标条款</w:t>
      </w:r>
      <w:r>
        <w:rPr>
          <w:rFonts w:hint="eastAsia"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.2.1符合专业条件的供应商或者对招标文件作实质响应的供应商不足三家的。</w:t>
      </w:r>
      <w:r>
        <w:rPr>
          <w:rFonts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.2.2出现影响采购公正的违法、违规行为的。</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.2.3因重大变故，采购任务取消的。</w:t>
      </w:r>
      <w:r>
        <w:rPr>
          <w:rFonts w:hint="eastAsia" w:ascii="宋体" w:hAnsi="宋体"/>
          <w:bCs/>
          <w:color w:val="000000"/>
          <w:sz w:val="24"/>
          <w:szCs w:val="21"/>
          <w:highlight w:val="none"/>
        </w:rPr>
      </w:r>
      <w:r/>
    </w:p>
    <w:p>
      <w:pPr>
        <w:pStyle w:val="1023"/>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.2.4评标委员会认定招标文件存在歧义、重大缺陷导致评审工作无法进行。</w:t>
      </w:r>
      <w:r>
        <w:rPr>
          <w:rFonts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.2.5 因</w:t>
      </w:r>
      <w:r>
        <w:rPr>
          <w:rFonts w:hint="eastAsia" w:ascii="宋体" w:hAnsi="宋体"/>
          <w:color w:val="000000"/>
          <w:sz w:val="24"/>
          <w:highlight w:val="none"/>
        </w:rPr>
        <w:t xml:space="preserve">苏采云系统</w:t>
      </w:r>
      <w:r>
        <w:rPr>
          <w:rFonts w:ascii="宋体" w:hAnsi="宋体"/>
          <w:bCs/>
          <w:color w:val="000000"/>
          <w:sz w:val="24"/>
          <w:szCs w:val="21"/>
          <w:highlight w:val="none"/>
        </w:rPr>
        <w:t xml:space="preserve">系统故障原因造成开标不成功</w:t>
      </w:r>
      <w:r>
        <w:rPr>
          <w:rFonts w:hint="eastAsia" w:ascii="宋体" w:hAnsi="宋体"/>
          <w:bCs/>
          <w:color w:val="000000"/>
          <w:sz w:val="24"/>
          <w:szCs w:val="21"/>
          <w:highlight w:val="none"/>
        </w:rPr>
        <w:t xml:space="preserve">的</w:t>
      </w:r>
      <w:r>
        <w:rPr>
          <w:rFonts w:ascii="宋体" w:hAnsi="宋体"/>
          <w:bCs/>
          <w:color w:val="000000"/>
          <w:sz w:val="24"/>
          <w:szCs w:val="21"/>
          <w:highlight w:val="none"/>
        </w:rPr>
        <w:t xml:space="preserve">。</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 投标截止时间结束后参加投标的供应商不足三家的处理：</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7</w:t>
      </w:r>
      <w:r>
        <w:rPr>
          <w:rFonts w:hint="eastAsia" w:ascii="宋体" w:hAnsi="宋体"/>
          <w:bCs/>
          <w:color w:val="000000"/>
          <w:sz w:val="24"/>
          <w:szCs w:val="21"/>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highlight w:val="none"/>
        </w:rPr>
      </w:r>
      <w:r/>
    </w:p>
    <w:p>
      <w:pPr>
        <w:pStyle w:val="1023"/>
        <w:ind w:firstLine="482"/>
        <w:keepLines/>
        <w:keepNext/>
        <w:spacing w:line="500" w:lineRule="exact"/>
        <w:rPr>
          <w:rFonts w:hint="eastAsia"/>
          <w:b/>
          <w:bCs/>
          <w:color w:val="000000"/>
          <w:sz w:val="32"/>
          <w:szCs w:val="32"/>
          <w:highlight w:val="none"/>
        </w:rPr>
        <w:outlineLvl w:val="2"/>
      </w:pPr>
      <w:r/>
      <w:bookmarkStart w:id="226" w:name="_Toc120614219"/>
      <w:r>
        <w:rPr>
          <w:rFonts w:hint="eastAsia"/>
          <w:b/>
          <w:bCs/>
          <w:color w:val="000000"/>
          <w:sz w:val="32"/>
          <w:szCs w:val="32"/>
          <w:highlight w:val="none"/>
        </w:rPr>
        <w:t xml:space="preserve">六、</w:t>
      </w:r>
      <w:bookmarkEnd w:id="223"/>
      <w:r/>
      <w:bookmarkEnd w:id="224"/>
      <w:r/>
      <w:bookmarkEnd w:id="225"/>
      <w:r>
        <w:rPr>
          <w:rFonts w:hint="eastAsia"/>
          <w:b/>
          <w:bCs/>
          <w:color w:val="000000"/>
          <w:sz w:val="32"/>
          <w:szCs w:val="32"/>
          <w:highlight w:val="none"/>
        </w:rPr>
        <w:t xml:space="preserve">定标</w:t>
      </w:r>
      <w:bookmarkEnd w:id="226"/>
      <w:r>
        <w:rPr>
          <w:rFonts w:hint="eastAsia"/>
          <w:b/>
          <w:bCs/>
          <w:color w:val="000000"/>
          <w:sz w:val="32"/>
          <w:szCs w:val="32"/>
          <w:highlight w:val="none"/>
        </w:rPr>
      </w:r>
      <w:r/>
    </w:p>
    <w:p>
      <w:pPr>
        <w:pStyle w:val="1023"/>
        <w:ind w:firstLine="600"/>
        <w:keepLines/>
        <w:keepNext/>
        <w:spacing w:line="500" w:lineRule="exact"/>
        <w:rPr>
          <w:rFonts w:hint="eastAsia" w:ascii="黑体" w:hAnsi="宋体" w:eastAsia="黑体"/>
          <w:bCs/>
          <w:color w:val="000000"/>
          <w:sz w:val="30"/>
          <w:szCs w:val="30"/>
          <w:highlight w:val="none"/>
        </w:rPr>
        <w:outlineLvl w:val="3"/>
      </w:pPr>
      <w:r/>
      <w:bookmarkStart w:id="227" w:name="_Toc513029238"/>
      <w:r/>
      <w:bookmarkStart w:id="228" w:name="_Toc16938554"/>
      <w:r/>
      <w:bookmarkStart w:id="229" w:name="_Toc20823310"/>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27"/>
      <w:r>
        <w:rPr>
          <w:rFonts w:hint="eastAsia" w:ascii="黑体" w:hAnsi="宋体" w:eastAsia="黑体"/>
          <w:bCs/>
          <w:color w:val="000000"/>
          <w:sz w:val="30"/>
          <w:szCs w:val="30"/>
          <w:highlight w:val="none"/>
        </w:rPr>
        <w:t xml:space="preserve">确定</w:t>
      </w:r>
      <w:bookmarkEnd w:id="228"/>
      <w:r/>
      <w:bookmarkEnd w:id="229"/>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.1中标候选人的选取原则和数量见招标文件第四章规定。 </w:t>
      </w:r>
      <w:r>
        <w:rPr>
          <w:rFonts w:hint="eastAsia" w:ascii="宋体" w:hAnsi="宋体"/>
          <w:bCs/>
          <w:color w:val="000000"/>
          <w:sz w:val="24"/>
          <w:szCs w:val="21"/>
          <w:highlight w:val="none"/>
        </w:rPr>
      </w:r>
      <w:r/>
    </w:p>
    <w:p>
      <w:pPr>
        <w:pStyle w:val="1023"/>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 采购人应根据评委会推荐的中标候选人确定中标人。</w:t>
      </w:r>
      <w:r>
        <w:rPr>
          <w:rFonts w:hint="eastAsia" w:ascii="宋体" w:hAnsi="宋体"/>
          <w:bCs/>
          <w:color w:val="000000"/>
          <w:sz w:val="24"/>
          <w:szCs w:val="21"/>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2</w:t>
      </w:r>
      <w:r>
        <w:rPr>
          <w:rFonts w:ascii="宋体" w:hAnsi="宋体"/>
          <w:bCs/>
          <w:color w:val="000000"/>
          <w:sz w:val="24"/>
          <w:highlight w:val="none"/>
        </w:rPr>
        <w:t xml:space="preserve">8</w:t>
      </w:r>
      <w:r>
        <w:rPr>
          <w:rFonts w:hint="eastAsia" w:ascii="宋体" w:hAnsi="宋体"/>
          <w:bCs/>
          <w:color w:val="000000"/>
          <w:sz w:val="24"/>
          <w:highlight w:val="none"/>
        </w:rPr>
        <w:t xml:space="preserve">.3 </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color w:val="000000"/>
          <w:sz w:val="24"/>
          <w:highlight w:val="none"/>
        </w:rPr>
        <w:t xml:space="preserve">发布中标公告，公告期限为1个工作日。</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  若有充分证据证明，中标人出现下列情况之一的，一经查实，将被取消中标资格：</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.4.1提供虚假材料谋取中标的。</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.4.2向采购人、</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行贿或者提供其他不正当利益的。</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.4.3属于本文件规定的无效条件，但在评标过程中又未被评委会发现的。</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.4.4与采购人或者其他供应商恶意串通的。</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.4.5采取不正当手段诋毁、排挤其他供应商的。</w:t>
      </w:r>
      <w:r>
        <w:rPr>
          <w:rFonts w:hint="eastAsia" w:ascii="宋体" w:hAnsi="宋体"/>
          <w:color w:val="000000"/>
          <w:sz w:val="24"/>
          <w:highlight w:val="none"/>
        </w:rPr>
      </w:r>
      <w:r/>
    </w:p>
    <w:p>
      <w:pPr>
        <w:pStyle w:val="1023"/>
        <w:ind w:firstLine="480"/>
        <w:spacing w:line="500" w:lineRule="exact"/>
        <w:rPr>
          <w:rFonts w:ascii="宋体" w:hAnsi="宋体"/>
          <w:color w:val="000000"/>
          <w:sz w:val="24"/>
          <w:highlight w:val="none"/>
        </w:rPr>
      </w:pPr>
      <w:r/>
      <w:bookmarkStart w:id="230" w:name="_Toc200451960"/>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w:t>
      </w:r>
      <w:r>
        <w:rPr>
          <w:rFonts w:hint="eastAsia"/>
          <w:color w:val="000000"/>
          <w:szCs w:val="21"/>
          <w:highlight w:val="none"/>
        </w:rPr>
        <w:t xml:space="preserve"> </w:t>
      </w:r>
      <w:r>
        <w:rPr>
          <w:rFonts w:hAnsi="宋体" w:cs="宋体"/>
          <w:color w:val="000000"/>
          <w:sz w:val="24"/>
          <w:highlight w:val="none"/>
        </w:rPr>
        <w:t xml:space="preserve">有下列情形之一的，</w:t>
      </w:r>
      <w:r>
        <w:rPr>
          <w:rFonts w:hint="eastAsia" w:hAnsi="宋体" w:cs="宋体"/>
          <w:color w:val="000000"/>
          <w:sz w:val="24"/>
          <w:highlight w:val="none"/>
        </w:rPr>
        <w:t xml:space="preserve">视为投标人</w:t>
      </w:r>
      <w:r>
        <w:rPr>
          <w:rFonts w:hAnsi="宋体" w:cs="宋体"/>
          <w:color w:val="000000"/>
          <w:sz w:val="24"/>
          <w:highlight w:val="none"/>
        </w:rPr>
        <w:t xml:space="preserve">串通</w:t>
      </w:r>
      <w:r>
        <w:rPr>
          <w:rFonts w:hint="eastAsia" w:hAnsi="宋体" w:cs="宋体"/>
          <w:color w:val="000000"/>
          <w:sz w:val="24"/>
          <w:highlight w:val="none"/>
        </w:rPr>
        <w:t xml:space="preserve">投标，投标无效：</w:t>
      </w:r>
      <w:r>
        <w:rPr>
          <w:rFonts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.5.1不同投标人的投标文件由同一单位或者个人编制；</w:t>
      </w:r>
      <w:r>
        <w:rPr>
          <w:rFonts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.5.2不同投标人委托同一单位或者个人办理投标事宜；</w:t>
      </w:r>
      <w:r>
        <w:rPr>
          <w:rFonts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.5.3 不同投标人的投标文件载明的项目管理成员或者联系人员为同一人；</w:t>
      </w:r>
      <w:r>
        <w:rPr>
          <w:rFonts w:ascii="宋体" w:hAnsi="宋体"/>
          <w:color w:val="000000"/>
          <w:sz w:val="24"/>
          <w:highlight w:val="none"/>
        </w:rPr>
      </w:r>
      <w:r/>
    </w:p>
    <w:p>
      <w:pPr>
        <w:pStyle w:val="1023"/>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8</w:t>
      </w:r>
      <w:r>
        <w:rPr>
          <w:rFonts w:hint="eastAsia" w:ascii="宋体" w:hAnsi="宋体"/>
          <w:color w:val="000000"/>
          <w:sz w:val="24"/>
          <w:highlight w:val="none"/>
        </w:rPr>
        <w:t xml:space="preserve">.5.4不同投标人的投标文件异常一致或者投标报价呈规律性差异；</w:t>
      </w:r>
      <w:r>
        <w:rPr>
          <w:rFonts w:ascii="宋体" w:hAnsi="宋体"/>
          <w:color w:val="000000"/>
          <w:sz w:val="24"/>
          <w:highlight w:val="none"/>
        </w:rPr>
      </w:r>
      <w:r/>
    </w:p>
    <w:p>
      <w:pPr>
        <w:pStyle w:val="1023"/>
        <w:ind w:firstLine="600"/>
        <w:keepLines/>
        <w:keepNext/>
        <w:spacing w:line="500" w:lineRule="exact"/>
        <w:rPr>
          <w:rFonts w:hint="eastAsia" w:ascii="黑体" w:hAnsi="宋体" w:eastAsia="黑体"/>
          <w:bCs/>
          <w:color w:val="000000"/>
          <w:sz w:val="30"/>
          <w:szCs w:val="30"/>
          <w:highlight w:val="none"/>
        </w:rPr>
        <w:outlineLvl w:val="3"/>
      </w:pPr>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0"/>
      <w:r>
        <w:rPr>
          <w:rFonts w:hint="eastAsia" w:ascii="黑体" w:hAnsi="宋体" w:eastAsia="黑体"/>
          <w:bCs/>
          <w:color w:val="000000"/>
          <w:sz w:val="30"/>
          <w:szCs w:val="30"/>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或采购人提出质疑。上述应知其权益受到损害之日，是指：</w:t>
      </w:r>
      <w:r>
        <w:rPr>
          <w:rFonts w:hint="eastAsia" w:ascii="宋体" w:hAnsi="宋体"/>
          <w:color w:val="000000"/>
          <w:sz w:val="24"/>
          <w:highlight w:val="none"/>
        </w:rPr>
      </w:r>
      <w:r/>
    </w:p>
    <w:p>
      <w:pPr>
        <w:pStyle w:val="1023"/>
        <w:ind w:firstLine="480"/>
        <w:spacing w:line="500" w:lineRule="exact"/>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Ansi="宋体" w:cs="宋体"/>
          <w:color w:val="000000"/>
          <w:sz w:val="24"/>
          <w:highlight w:val="none"/>
        </w:rPr>
        <w:br w:type="textWrapping" w:clear="all"/>
      </w:r>
      <w:r>
        <w:rPr>
          <w:rFonts w:hAnsi="宋体" w:cs="宋体"/>
          <w:color w:val="000000"/>
          <w:sz w:val="24"/>
          <w:highlight w:val="none"/>
        </w:rPr>
        <w:t xml:space="preserve">　　</w:t>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对中标或者成交结果提出质疑的，为中标或者成交结果公告期限届满之日。</w:t>
      </w:r>
      <w:r>
        <w:rPr>
          <w:rFonts w:hint="eastAsia" w:hAnsi="宋体" w:cs="宋体"/>
          <w:color w:val="000000"/>
          <w:sz w:val="24"/>
          <w:highlight w:val="none"/>
        </w:rPr>
      </w:r>
      <w:r/>
    </w:p>
    <w:p>
      <w:pPr>
        <w:pStyle w:val="1023"/>
        <w:ind w:firstLine="480"/>
        <w:spacing w:line="500" w:lineRule="exact"/>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采购代理机构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rPr>
          <w:rFonts w:hint="eastAsia" w:hAnsi="宋体" w:cs="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highlight w:val="none"/>
        </w:rPr>
      </w:r>
      <w:r/>
    </w:p>
    <w:p>
      <w:pPr>
        <w:pStyle w:val="1023"/>
        <w:ind w:firstLine="480"/>
        <w:spacing w:line="500" w:lineRule="exact"/>
        <w:rPr>
          <w:rFonts w:ascii="宋体" w:hAnsi="宋体"/>
          <w:b/>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供应商（含潜在</w:t>
      </w:r>
      <w:r>
        <w:rPr>
          <w:rFonts w:ascii="宋体" w:hAnsi="宋体"/>
          <w:color w:val="000000"/>
          <w:sz w:val="24"/>
          <w:highlight w:val="none"/>
        </w:rPr>
        <w:t xml:space="preserve">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招标文件中采购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评标方法</w:t>
      </w:r>
      <w:r>
        <w:rPr>
          <w:rFonts w:ascii="宋体" w:hAnsi="宋体"/>
          <w:color w:val="000000"/>
          <w:sz w:val="24"/>
          <w:highlight w:val="none"/>
        </w:rPr>
        <w:t xml:space="preserve">和评标标准、合同文本</w:t>
      </w:r>
      <w:r>
        <w:rPr>
          <w:rFonts w:hint="eastAsia" w:ascii="宋体" w:hAnsi="宋体"/>
          <w:color w:val="000000"/>
          <w:sz w:val="24"/>
          <w:highlight w:val="none"/>
        </w:rPr>
        <w:t xml:space="preserve">及</w:t>
      </w:r>
      <w:r>
        <w:rPr>
          <w:rFonts w:ascii="宋体" w:hAnsi="宋体"/>
          <w:color w:val="000000"/>
          <w:sz w:val="24"/>
          <w:highlight w:val="none"/>
        </w:rPr>
        <w:t xml:space="preserve">资格</w:t>
      </w:r>
      <w:r>
        <w:rPr>
          <w:rFonts w:hint="eastAsia" w:ascii="宋体" w:hAnsi="宋体"/>
          <w:color w:val="000000"/>
          <w:sz w:val="24"/>
          <w:highlight w:val="none"/>
        </w:rPr>
        <w:t xml:space="preserve">审查结果的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采购代理机构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rPr>
          <w:rFonts w:ascii="宋体" w:hAnsi="宋体"/>
          <w:b/>
          <w:color w:val="000000"/>
          <w:sz w:val="24"/>
          <w:highlight w:val="none"/>
        </w:rPr>
      </w:r>
      <w:r/>
    </w:p>
    <w:p>
      <w:pPr>
        <w:pStyle w:val="1023"/>
        <w:ind w:firstLine="482"/>
        <w:spacing w:after="0" w:line="480" w:lineRule="exact"/>
        <w:rPr>
          <w:rFonts w:hint="eastAsia" w:ascii="宋体" w:hAnsi="宋体"/>
          <w:color w:val="000000"/>
          <w:sz w:val="24"/>
          <w:highlight w:val="none"/>
        </w:rPr>
      </w:pPr>
      <w:r/>
      <w:bookmarkStart w:id="231" w:name="_Hlk149903315"/>
      <w:r>
        <w:rPr>
          <w:rFonts w:hint="eastAsia" w:ascii="Symbol" w:hAnsi="Symbol" w:cs="Symbol"/>
          <w:color w:val="000000"/>
          <w:sz w:val="24"/>
          <w:highlight w:val="none"/>
        </w:rPr>
        <w:t xml:space="preserve">根据《政府采购质疑和投诉办法》</w:t>
      </w:r>
      <w:r>
        <w:rPr>
          <w:rFonts w:ascii="Symbol" w:hAnsi="Symbol" w:cs="Symbol"/>
          <w:color w:val="000000"/>
          <w:sz w:val="24"/>
          <w:highlight w:val="none"/>
        </w:rPr>
        <w:t xml:space="preserve">(</w:t>
      </w:r>
      <w:r>
        <w:rPr>
          <w:rFonts w:hint="eastAsia" w:ascii="Symbol" w:hAnsi="Symbol" w:cs="Symbol"/>
          <w:color w:val="000000"/>
          <w:sz w:val="24"/>
          <w:highlight w:val="none"/>
        </w:rPr>
        <w:t xml:space="preserve">财政部第</w:t>
      </w:r>
      <w:r>
        <w:rPr>
          <w:rFonts w:ascii="Symbol" w:hAnsi="Symbol" w:cs="Symbol"/>
          <w:color w:val="000000"/>
          <w:sz w:val="24"/>
          <w:highlight w:val="none"/>
        </w:rPr>
        <w:t xml:space="preserve"> 94 </w:t>
      </w:r>
      <w:r>
        <w:rPr>
          <w:rFonts w:hint="eastAsia" w:ascii="Symbol" w:hAnsi="Symbol" w:cs="Symbol"/>
          <w:color w:val="000000"/>
          <w:sz w:val="24"/>
          <w:highlight w:val="none"/>
        </w:rPr>
        <w:t xml:space="preserve">号令</w:t>
      </w:r>
      <w:r>
        <w:rPr>
          <w:rFonts w:ascii="Symbol" w:hAnsi="Symbol" w:cs="Symbol"/>
          <w:color w:val="000000"/>
          <w:sz w:val="24"/>
          <w:highlight w:val="none"/>
        </w:rPr>
        <w:t xml:space="preserve">)</w:t>
      </w:r>
      <w:r>
        <w:rPr>
          <w:rFonts w:hint="eastAsia" w:ascii="Symbol" w:hAnsi="Symbol" w:cs="Symbol"/>
          <w:color w:val="000000"/>
          <w:sz w:val="24"/>
          <w:highlight w:val="none"/>
        </w:rPr>
        <w:t xml:space="preserve">第十一条规定，提出质疑的供应商应当是参与所质疑项目采购活动的供应商。</w:t>
      </w:r>
      <w:r>
        <w:rPr>
          <w:rFonts w:hint="eastAsia" w:ascii="Symbol" w:hAnsi="Symbol" w:cs="Symbol"/>
          <w:b/>
          <w:bCs/>
          <w:color w:val="000000"/>
          <w:sz w:val="24"/>
          <w:highlight w:val="none"/>
        </w:rPr>
        <w:t xml:space="preserve">因此凡是对招标文件提出质疑的供应商，必须是依法获取招标文件的供应商，请将合法获取招标文件的证明材料</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即《投标供应商确认函》</w:t>
      </w:r>
      <w:r>
        <w:rPr>
          <w:rFonts w:ascii="Symbol" w:hAnsi="Symbol" w:cs="Symbol"/>
          <w:b/>
          <w:bCs/>
          <w:color w:val="000000"/>
          <w:sz w:val="24"/>
          <w:highlight w:val="none"/>
        </w:rPr>
        <w:t xml:space="preserve">)</w:t>
      </w:r>
      <w:r>
        <w:rPr>
          <w:rFonts w:hint="eastAsia" w:ascii="Symbol" w:hAnsi="Symbol" w:cs="Symbol"/>
          <w:b/>
          <w:bCs/>
          <w:color w:val="000000"/>
          <w:sz w:val="24"/>
          <w:highlight w:val="none"/>
        </w:rPr>
        <w:t xml:space="preserve">与质疑函一起递交，否则不予受理。</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不接受未填写快递运单的快件）。</w:t>
      </w:r>
      <w:r>
        <w:rPr>
          <w:rFonts w:hint="eastAsia" w:ascii="宋体" w:hAnsi="宋体"/>
          <w:color w:val="000000"/>
          <w:sz w:val="24"/>
          <w:highlight w:val="none"/>
        </w:rPr>
      </w:r>
      <w:r/>
    </w:p>
    <w:p>
      <w:pPr>
        <w:pStyle w:val="1023"/>
        <w:ind w:firstLine="480"/>
        <w:jc w:val="left"/>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质疑接收部门为：</w:t>
      </w:r>
      <w:r>
        <w:rPr>
          <w:rFonts w:hint="eastAsia" w:ascii="宋体" w:hAnsi="宋体"/>
          <w:color w:val="000000"/>
          <w:sz w:val="24"/>
          <w:highlight w:val="none"/>
          <w:lang w:eastAsia="zh-CN"/>
        </w:rPr>
        <w:t xml:space="preserve">常州环宇工程项目管理有限公司招标代理部</w:t>
      </w:r>
      <w:r>
        <w:rPr>
          <w:rFonts w:hint="eastAsia" w:ascii="宋体" w:hAnsi="宋体" w:eastAsia="宋体"/>
          <w:color w:val="000000"/>
          <w:sz w:val="24"/>
          <w:highlight w:val="none"/>
          <w:lang w:eastAsia="zh-CN"/>
        </w:rPr>
      </w:r>
      <w:r/>
    </w:p>
    <w:p>
      <w:pPr>
        <w:pStyle w:val="1023"/>
        <w:ind w:firstLine="480"/>
        <w:jc w:val="left"/>
        <w:spacing w:line="500" w:lineRule="exact"/>
        <w:rPr>
          <w:color w:val="000000"/>
          <w:sz w:val="24"/>
          <w:highlight w:val="none"/>
        </w:rPr>
      </w:pPr>
      <w:r>
        <w:rPr>
          <w:rFonts w:hint="eastAsia" w:ascii="宋体" w:hAnsi="宋体"/>
          <w:color w:val="000000"/>
          <w:sz w:val="24"/>
          <w:highlight w:val="none"/>
        </w:rPr>
        <w:t xml:space="preserve">联系地址</w:t>
      </w:r>
      <w:r>
        <w:rPr>
          <w:color w:val="000000"/>
          <w:sz w:val="24"/>
          <w:highlight w:val="none"/>
        </w:rPr>
        <w:t xml:space="preserve">：</w:t>
      </w:r>
      <w:r>
        <w:rPr>
          <w:rFonts w:hint="eastAsia" w:ascii="宋体" w:hAnsi="宋体" w:cs="宋体"/>
          <w:color w:val="000000"/>
          <w:sz w:val="24"/>
          <w:highlight w:val="none"/>
        </w:rPr>
        <w:t xml:space="preserve">常州市武进区延政中大道19号武房大厦4楼</w:t>
      </w:r>
      <w:r>
        <w:rPr>
          <w:color w:val="000000"/>
          <w:sz w:val="24"/>
          <w:highlight w:val="none"/>
        </w:rPr>
        <w:t xml:space="preserve">；</w:t>
      </w:r>
      <w:r>
        <w:rPr>
          <w:color w:val="000000"/>
          <w:sz w:val="24"/>
          <w:highlight w:val="none"/>
        </w:rPr>
      </w:r>
      <w:r/>
    </w:p>
    <w:p>
      <w:pPr>
        <w:pStyle w:val="1023"/>
        <w:ind w:firstLine="480"/>
        <w:jc w:val="left"/>
        <w:spacing w:line="500" w:lineRule="exact"/>
        <w:rPr>
          <w:color w:val="000000"/>
          <w:sz w:val="24"/>
          <w:highlight w:val="none"/>
        </w:rPr>
      </w:pPr>
      <w:r>
        <w:rPr>
          <w:color w:val="000000"/>
          <w:sz w:val="24"/>
          <w:highlight w:val="none"/>
        </w:rPr>
        <w:t xml:space="preserve">联系电话：</w:t>
      </w:r>
      <w:r>
        <w:rPr>
          <w:rFonts w:hint="eastAsia"/>
          <w:color w:val="000000"/>
          <w:sz w:val="24"/>
          <w:highlight w:val="none"/>
        </w:rPr>
        <w:t xml:space="preserve">0519-8</w:t>
      </w:r>
      <w:r>
        <w:rPr>
          <w:rFonts w:hint="eastAsia"/>
          <w:color w:val="000000"/>
          <w:sz w:val="24"/>
          <w:highlight w:val="none"/>
          <w:lang w:val="en-US" w:eastAsia="zh-CN"/>
        </w:rPr>
        <w:t xml:space="preserve">6310937</w:t>
      </w:r>
      <w:r>
        <w:rPr>
          <w:color w:val="000000"/>
          <w:sz w:val="24"/>
          <w:highlight w:val="none"/>
        </w:rPr>
        <w:t xml:space="preserve">；</w:t>
      </w:r>
      <w:r>
        <w:rPr>
          <w:color w:val="000000"/>
          <w:sz w:val="24"/>
          <w:highlight w:val="none"/>
        </w:rPr>
      </w:r>
      <w:r/>
    </w:p>
    <w:p>
      <w:pPr>
        <w:pStyle w:val="1023"/>
        <w:ind w:firstLine="480"/>
        <w:spacing w:line="500" w:lineRule="exact"/>
        <w:rPr>
          <w:rFonts w:hint="eastAsia" w:ascii="宋体" w:hAnsi="宋体"/>
          <w:color w:val="000000"/>
          <w:sz w:val="24"/>
          <w:highlight w:val="none"/>
        </w:rPr>
      </w:pPr>
      <w:r/>
      <w:bookmarkEnd w:id="231"/>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未参加投标活动的供应商或在投标活动中自身权益未受到损害的供应商所提出的质疑。</w:t>
      </w:r>
      <w:r>
        <w:rPr>
          <w:rFonts w:hint="eastAsia" w:ascii="宋体" w:hAnsi="宋体"/>
          <w:color w:val="000000"/>
          <w:sz w:val="24"/>
          <w:highlight w:val="none"/>
        </w:rPr>
      </w:r>
      <w:r/>
    </w:p>
    <w:p>
      <w:pPr>
        <w:pStyle w:val="1023"/>
        <w:ind w:firstLine="480"/>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.5.5供应商组成联合体参加投标，联合体中任何一方或多方未按要求签字、盖章、加盖公章的质疑。</w:t>
      </w:r>
      <w:r>
        <w:rPr>
          <w:rFonts w:hint="eastAsia" w:ascii="宋体" w:hAnsi="宋体"/>
          <w:color w:val="000000"/>
          <w:sz w:val="24"/>
          <w:highlight w:val="none"/>
        </w:rPr>
      </w:r>
      <w:r/>
    </w:p>
    <w:p>
      <w:pPr>
        <w:pStyle w:val="1023"/>
        <w:ind w:firstLine="468"/>
        <w:spacing w:line="500" w:lineRule="exact"/>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color w:val="000000"/>
          <w:sz w:val="24"/>
          <w:highlight w:val="none"/>
        </w:rPr>
      </w:r>
      <w:r/>
    </w:p>
    <w:p>
      <w:pPr>
        <w:pStyle w:val="1023"/>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、中标通知书</w:t>
      </w:r>
      <w:r>
        <w:rPr>
          <w:rFonts w:hint="eastAsia" w:ascii="黑体" w:hAnsi="宋体" w:eastAsia="黑体"/>
          <w:bCs/>
          <w:color w:val="000000"/>
          <w:sz w:val="30"/>
          <w:szCs w:val="30"/>
          <w:highlight w:val="none"/>
        </w:rPr>
      </w:r>
      <w:r/>
    </w:p>
    <w:p>
      <w:pPr>
        <w:pStyle w:val="1023"/>
        <w:ind w:firstLine="600"/>
        <w:spacing w:line="500" w:lineRule="exact"/>
        <w:rPr>
          <w:rFonts w:hint="eastAsia" w:ascii="宋体" w:hAnsi="宋体"/>
          <w:color w:val="000000"/>
          <w:sz w:val="24"/>
          <w:highlight w:val="none"/>
        </w:rPr>
      </w:pPr>
      <w:r>
        <w:rPr>
          <w:rFonts w:ascii="宋体" w:hAnsi="宋体"/>
          <w:color w:val="000000"/>
          <w:sz w:val="24"/>
          <w:highlight w:val="none"/>
        </w:rPr>
        <w:t xml:space="preserve">30</w:t>
      </w:r>
      <w:r>
        <w:rPr>
          <w:rFonts w:hint="eastAsia" w:ascii="宋体" w:hAnsi="宋体"/>
          <w:color w:val="000000"/>
          <w:sz w:val="24"/>
          <w:highlight w:val="none"/>
        </w:rPr>
        <w:t xml:space="preserve">.l</w:t>
      </w:r>
      <w:r>
        <w:rPr>
          <w:rFonts w:hint="eastAsia" w:ascii="宋体" w:hAnsi="宋体"/>
          <w:b/>
          <w:color w:val="000000"/>
          <w:sz w:val="24"/>
          <w:highlight w:val="none"/>
        </w:rPr>
        <w:t xml:space="preserve"> </w:t>
      </w:r>
      <w:r>
        <w:rPr>
          <w:rFonts w:hint="eastAsia" w:ascii="宋体" w:hAnsi="宋体"/>
          <w:color w:val="000000"/>
          <w:sz w:val="24"/>
          <w:highlight w:val="none"/>
        </w:rPr>
        <w:t xml:space="preserve">中标结果确定后，</w:t>
      </w:r>
      <w:r>
        <w:rPr>
          <w:rFonts w:hint="eastAsia" w:ascii="宋体" w:hAnsi="宋体"/>
          <w:color w:val="000000"/>
          <w:sz w:val="24"/>
          <w:highlight w:val="none"/>
          <w:lang w:eastAsia="zh-CN"/>
        </w:rPr>
        <w:t xml:space="preserve">采购代理机构</w:t>
      </w:r>
      <w:r>
        <w:rPr>
          <w:rFonts w:hint="eastAsia" w:ascii="宋体" w:hAnsi="宋体"/>
          <w:color w:val="000000"/>
          <w:sz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highlight w:val="none"/>
        </w:rPr>
      </w:r>
      <w:r/>
    </w:p>
    <w:p>
      <w:pPr>
        <w:pStyle w:val="102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highlight w:val="none"/>
        </w:rPr>
      </w:r>
      <w:r/>
    </w:p>
    <w:p>
      <w:pPr>
        <w:pStyle w:val="1023"/>
        <w:ind w:firstLine="643"/>
        <w:keepLines/>
        <w:keepNext/>
        <w:spacing w:line="500" w:lineRule="exact"/>
        <w:rPr>
          <w:rFonts w:hint="eastAsia"/>
          <w:b/>
          <w:bCs/>
          <w:color w:val="000000"/>
          <w:sz w:val="32"/>
          <w:szCs w:val="32"/>
          <w:highlight w:val="none"/>
        </w:rPr>
        <w:outlineLvl w:val="2"/>
      </w:pPr>
      <w:r/>
      <w:bookmarkStart w:id="232" w:name="_Toc20823308"/>
      <w:r/>
      <w:bookmarkStart w:id="233" w:name="_Toc513029236"/>
      <w:r/>
      <w:bookmarkStart w:id="234" w:name="_Toc120614220"/>
      <w:r/>
      <w:bookmarkStart w:id="235" w:name="_Toc16938552"/>
      <w:r>
        <w:rPr>
          <w:rFonts w:hint="eastAsia"/>
          <w:b/>
          <w:bCs/>
          <w:color w:val="000000"/>
          <w:sz w:val="32"/>
          <w:szCs w:val="32"/>
          <w:highlight w:val="none"/>
        </w:rPr>
        <w:t xml:space="preserve">七、授予合同</w:t>
      </w:r>
      <w:bookmarkEnd w:id="234"/>
      <w:r>
        <w:rPr>
          <w:rFonts w:hint="eastAsia"/>
          <w:b/>
          <w:bCs/>
          <w:color w:val="000000"/>
          <w:sz w:val="32"/>
          <w:szCs w:val="32"/>
          <w:highlight w:val="none"/>
        </w:rPr>
      </w:r>
      <w:r/>
    </w:p>
    <w:p>
      <w:pPr>
        <w:pStyle w:val="1023"/>
        <w:ind w:firstLine="600"/>
        <w:keepLines/>
        <w:keepNext/>
        <w:spacing w:line="500" w:lineRule="exact"/>
        <w:rPr>
          <w:rFonts w:hint="eastAsia" w:ascii="黑体" w:hAnsi="宋体" w:eastAsia="黑体"/>
          <w:bCs/>
          <w:color w:val="000000"/>
          <w:sz w:val="30"/>
          <w:szCs w:val="30"/>
          <w:highlight w:val="none"/>
        </w:rPr>
        <w:outlineLvl w:val="3"/>
      </w:pPr>
      <w:r/>
      <w:bookmarkEnd w:id="232"/>
      <w:r/>
      <w:bookmarkEnd w:id="233"/>
      <w:r/>
      <w:bookmarkEnd w:id="235"/>
      <w:r/>
      <w:bookmarkStart w:id="236" w:name="_Toc16938553"/>
      <w:r/>
      <w:bookmarkStart w:id="237" w:name="_Toc513029237"/>
      <w:r/>
      <w:bookmarkStart w:id="238" w:name="_Toc20823309"/>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rPr>
          <w:rFonts w:hint="eastAsia" w:ascii="黑体" w:hAnsi="宋体" w:eastAsia="黑体"/>
          <w:bCs/>
          <w:color w:val="000000"/>
          <w:sz w:val="30"/>
          <w:szCs w:val="30"/>
          <w:highlight w:val="none"/>
        </w:rPr>
      </w:r>
      <w:r/>
    </w:p>
    <w:p>
      <w:pPr>
        <w:pStyle w:val="1023"/>
        <w:ind w:firstLine="600"/>
        <w:spacing w:line="500" w:lineRule="exact"/>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.l中标人应当在中标通知书发出之日起三十日内，按照招标文件确定的事项与采购人签订政府采购合同。</w:t>
      </w:r>
      <w:r>
        <w:rPr>
          <w:rFonts w:hint="eastAsia" w:ascii="宋体" w:hAnsi="宋体"/>
          <w:color w:val="000000"/>
          <w:sz w:val="24"/>
          <w:highlight w:val="none"/>
        </w:rPr>
      </w:r>
      <w:r/>
    </w:p>
    <w:p>
      <w:pPr>
        <w:pStyle w:val="102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b/>
          <w:color w:val="000000"/>
          <w:sz w:val="24"/>
          <w:highlight w:val="none"/>
        </w:rPr>
        <w:t xml:space="preserve"> </w:t>
      </w:r>
      <w:r>
        <w:rPr>
          <w:rFonts w:hint="eastAsia" w:ascii="宋体" w:hAnsi="宋体"/>
          <w:color w:val="000000"/>
          <w:sz w:val="24"/>
          <w:highlight w:val="none"/>
        </w:rPr>
        <w:t xml:space="preserve">招标文件、中标人的投标文件及招标过程中有关澄清、承诺文件均应作为合同附件。</w:t>
      </w:r>
      <w:r>
        <w:rPr>
          <w:rFonts w:hint="eastAsia" w:ascii="宋体" w:hAnsi="宋体"/>
          <w:color w:val="000000"/>
          <w:sz w:val="24"/>
          <w:highlight w:val="none"/>
        </w:rPr>
      </w:r>
      <w:r/>
    </w:p>
    <w:p>
      <w:pPr>
        <w:pStyle w:val="1023"/>
        <w:ind w:firstLine="600"/>
        <w:spacing w:line="500" w:lineRule="exact"/>
        <w:rPr>
          <w:rFonts w:hint="eastAsia" w:ascii="宋体" w:hAnsi="宋体"/>
          <w:color w:val="000000"/>
          <w:sz w:val="24"/>
          <w:highlight w:val="none"/>
        </w:rPr>
      </w:pPr>
      <w:r>
        <w:rPr>
          <w:rFonts w:hint="eastAsia" w:ascii="宋体" w:hAnsi="宋体"/>
          <w:color w:val="000000"/>
          <w:sz w:val="24"/>
          <w:highlight w:val="non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highlight w:val="none"/>
        </w:rPr>
      </w:r>
      <w:r/>
    </w:p>
    <w:p>
      <w:pPr>
        <w:pStyle w:val="1023"/>
        <w:ind w:firstLine="600"/>
        <w:keepLines/>
        <w:keepNext/>
        <w:spacing w:line="500" w:lineRule="exact"/>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、货物（包含与货物相关的服务）的追加</w:t>
      </w:r>
      <w:r>
        <w:rPr>
          <w:rFonts w:hint="eastAsia" w:ascii="黑体" w:hAnsi="宋体" w:eastAsia="黑体"/>
          <w:bCs/>
          <w:color w:val="000000"/>
          <w:sz w:val="30"/>
          <w:szCs w:val="30"/>
          <w:highlight w:val="none"/>
        </w:rPr>
      </w:r>
      <w:r/>
    </w:p>
    <w:p>
      <w:pPr>
        <w:pStyle w:val="1023"/>
        <w:ind w:firstLine="480"/>
        <w:spacing w:line="500" w:lineRule="exact"/>
        <w:rPr>
          <w:rFonts w:hint="eastAsia"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highlight w:val="none"/>
        </w:rPr>
      </w:r>
      <w:r/>
    </w:p>
    <w:p>
      <w:pPr>
        <w:pStyle w:val="1103"/>
        <w:ind w:firstLine="600"/>
        <w:spacing w:line="500" w:lineRule="exact"/>
        <w:rPr>
          <w:rFonts w:ascii="黑体" w:hAnsi="宋体" w:eastAsia="黑体" w:cs="Times New Roman"/>
          <w:bCs/>
          <w:color w:val="000000"/>
          <w:sz w:val="30"/>
          <w:szCs w:val="30"/>
          <w:highlight w:val="none"/>
        </w:rPr>
      </w:pPr>
      <w:r/>
      <w:bookmarkEnd w:id="236"/>
      <w:r/>
      <w:bookmarkEnd w:id="237"/>
      <w:r/>
      <w:bookmarkEnd w:id="238"/>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rPr>
          <w:rFonts w:ascii="黑体" w:hAnsi="宋体" w:eastAsia="黑体" w:cs="Times New Roman"/>
          <w:bCs/>
          <w:color w:val="000000"/>
          <w:sz w:val="30"/>
          <w:szCs w:val="30"/>
          <w:highlight w:val="none"/>
        </w:rPr>
      </w:r>
      <w:r/>
    </w:p>
    <w:p>
      <w:pPr>
        <w:pStyle w:val="102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highlight w:val="none"/>
        </w:rPr>
      </w:r>
      <w:r/>
    </w:p>
    <w:p>
      <w:pPr>
        <w:pStyle w:val="102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rPr>
          <w:rFonts w:ascii="宋体" w:hAnsi="宋体"/>
          <w:b/>
          <w:bCs/>
          <w:color w:val="000000"/>
          <w:sz w:val="24"/>
          <w:highlight w:val="none"/>
        </w:rPr>
      </w:r>
      <w:r/>
    </w:p>
    <w:p>
      <w:pPr>
        <w:pStyle w:val="1023"/>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sz w:val="24"/>
          <w:highlight w:val="none"/>
        </w:rPr>
      </w:r>
      <w:r/>
    </w:p>
    <w:p>
      <w:pPr>
        <w:pStyle w:val="1023"/>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sz w:val="24"/>
          <w:highlight w:val="none"/>
        </w:rPr>
      </w:r>
      <w:r/>
    </w:p>
    <w:p>
      <w:pPr>
        <w:pStyle w:val="1023"/>
        <w:ind w:firstLine="482"/>
        <w:jc w:val="left"/>
        <w:spacing w:line="500" w:lineRule="exact"/>
        <w:tabs>
          <w:tab w:val="left" w:pos="1980" w:leader="none"/>
        </w:tabs>
        <w:rPr>
          <w:b/>
          <w:color w:val="000000"/>
          <w:sz w:val="24"/>
          <w:highlight w:val="none"/>
        </w:rPr>
      </w:pPr>
      <w:r>
        <w:rPr>
          <w:b/>
          <w:color w:val="000000"/>
          <w:sz w:val="24"/>
          <w:highlight w:val="none"/>
        </w:rPr>
        <w:t xml:space="preserve">33.2.3</w:t>
      </w:r>
      <w:r>
        <w:rPr>
          <w:rFonts w:hint="eastAsia"/>
          <w:b/>
          <w:color w:val="000000"/>
          <w:sz w:val="24"/>
          <w:highlight w:val="none"/>
        </w:rPr>
        <w:t xml:space="preserve">、</w:t>
      </w:r>
      <w:r>
        <w:rPr>
          <w:b/>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b/>
          <w:color w:val="000000"/>
          <w:sz w:val="24"/>
          <w:highlight w:val="none"/>
        </w:rPr>
        <w:t xml:space="preserve">否则投标无效</w:t>
      </w:r>
      <w:r>
        <w:rPr>
          <w:b/>
          <w:color w:val="000000"/>
          <w:sz w:val="24"/>
          <w:highlight w:val="none"/>
        </w:rPr>
        <w:t xml:space="preserve">；</w:t>
      </w:r>
      <w:r>
        <w:rPr>
          <w:b/>
          <w:color w:val="000000"/>
          <w:sz w:val="24"/>
          <w:highlight w:val="none"/>
        </w:rPr>
      </w:r>
      <w:r/>
    </w:p>
    <w:p>
      <w:pPr>
        <w:pStyle w:val="1023"/>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highlight w:val="none"/>
        </w:rPr>
      </w:r>
      <w:r/>
    </w:p>
    <w:p>
      <w:pPr>
        <w:pStyle w:val="1023"/>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highlight w:val="none"/>
        </w:rPr>
      </w:r>
      <w:r/>
    </w:p>
    <w:p>
      <w:pPr>
        <w:pStyle w:val="102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bCs/>
          <w:color w:val="000000"/>
          <w:sz w:val="24"/>
          <w:highlight w:val="none"/>
        </w:rPr>
      </w:r>
      <w:r/>
    </w:p>
    <w:p>
      <w:pPr>
        <w:pStyle w:val="102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rPr>
          <w:rFonts w:ascii="宋体" w:hAnsi="宋体"/>
          <w:b/>
          <w:bCs/>
          <w:color w:val="000000"/>
          <w:sz w:val="24"/>
          <w:highlight w:val="none"/>
        </w:rPr>
      </w:r>
      <w:r/>
    </w:p>
    <w:p>
      <w:pPr>
        <w:pStyle w:val="1023"/>
        <w:ind w:firstLine="480"/>
        <w:jc w:val="left"/>
        <w:spacing w:line="500" w:lineRule="exact"/>
        <w:tabs>
          <w:tab w:val="left" w:pos="1980" w:leader="none"/>
        </w:tabs>
        <w:rPr>
          <w:color w:val="000000"/>
          <w:sz w:val="24"/>
          <w:highlight w:val="none"/>
        </w:rPr>
      </w:pPr>
      <w:r>
        <w:rPr>
          <w:color w:val="000000"/>
          <w:sz w:val="24"/>
          <w:highlight w:val="none"/>
        </w:rPr>
        <w:t xml:space="preserve">33.5.1依据《财政部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sz w:val="24"/>
          <w:highlight w:val="none"/>
        </w:rPr>
      </w:r>
      <w:r/>
    </w:p>
    <w:p>
      <w:pPr>
        <w:pStyle w:val="1023"/>
        <w:ind w:firstLine="480"/>
        <w:jc w:val="left"/>
        <w:spacing w:line="500" w:lineRule="exact"/>
        <w:tabs>
          <w:tab w:val="left" w:pos="1980" w:leader="none"/>
        </w:tabs>
        <w:rPr>
          <w:color w:val="000000"/>
          <w:sz w:val="24"/>
          <w:highlight w:val="none"/>
        </w:rPr>
      </w:pPr>
      <w:r>
        <w:rPr>
          <w:color w:val="000000"/>
          <w:sz w:val="24"/>
          <w:highlight w:val="none"/>
        </w:rPr>
        <w:t xml:space="preserve">33.5.</w:t>
      </w:r>
      <w:r>
        <w:rPr>
          <w:rFonts w:hint="eastAsia"/>
          <w:color w:val="000000"/>
          <w:sz w:val="24"/>
          <w:highlight w:val="none"/>
        </w:rPr>
        <w:t xml:space="preserve">2</w:t>
      </w: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sz w:val="24"/>
          <w:highlight w:val="none"/>
        </w:rPr>
      </w:r>
      <w:r/>
    </w:p>
    <w:p>
      <w:pPr>
        <w:pStyle w:val="1023"/>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ascii="宋体" w:hAnsi="宋体"/>
          <w:b/>
          <w:bCs/>
          <w:color w:val="000000"/>
          <w:sz w:val="24"/>
          <w:highlight w:val="none"/>
        </w:rPr>
      </w:r>
      <w:r/>
    </w:p>
    <w:p>
      <w:pPr>
        <w:pStyle w:val="1023"/>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highlight w:val="none"/>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33.8</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绿色采购政策</w:t>
      </w:r>
      <w:r>
        <w:rPr>
          <w:rFonts w:hint="eastAsia" w:ascii="宋体" w:hAnsi="宋体" w:eastAsia="宋体" w:cs="Times New Roman"/>
          <w:b/>
          <w:bCs/>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33.8.1</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绿色数据中心政策 </w:t>
      </w:r>
      <w:r>
        <w:rPr>
          <w:rFonts w:hint="eastAsia" w:ascii="宋体" w:hAnsi="宋体" w:eastAsia="宋体" w:cs="Times New Roman"/>
          <w:b/>
          <w:bCs/>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依据《绿色数据中心政府采购需求标准（试行）》（财办库〔2023〕7 号）文件精神，采购</w:t>
      </w:r>
      <w:r>
        <w:rPr>
          <w:rFonts w:hint="eastAsia" w:ascii="Times New Roman" w:hAnsi="Times New Roman" w:eastAsia="宋体" w:cs="Times New Roman"/>
          <w:color w:val="000000"/>
          <w:sz w:val="24"/>
          <w:highlight w:val="none"/>
          <w:lang w:val="zh-CN"/>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33.8.2 推广应用绿色建材</w:t>
      </w:r>
      <w:r>
        <w:rPr>
          <w:rFonts w:hint="eastAsia" w:ascii="宋体" w:hAnsi="宋体" w:eastAsia="宋体" w:cs="Times New Roman"/>
          <w:b/>
          <w:bCs/>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33.8.3 优先使用低挥发性有机化合物产品</w:t>
      </w:r>
      <w:r>
        <w:rPr>
          <w:rFonts w:hint="eastAsia" w:ascii="宋体" w:hAnsi="宋体" w:eastAsia="宋体" w:cs="Times New Roman"/>
          <w:b/>
          <w:bCs/>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33.9</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中小企业、监狱企业及残疾人福利性单位</w:t>
      </w:r>
      <w:r>
        <w:rPr>
          <w:rFonts w:hint="eastAsia" w:ascii="宋体" w:hAnsi="宋体" w:eastAsia="宋体" w:cs="Times New Roman"/>
          <w:b/>
          <w:bCs/>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33.9.1</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中小企业定义：</w:t>
      </w:r>
      <w:r>
        <w:rPr>
          <w:rFonts w:hint="eastAsia" w:ascii="宋体" w:hAnsi="宋体" w:eastAsia="宋体" w:cs="Times New Roman"/>
          <w:b/>
          <w:bCs/>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中小企业是</w:t>
      </w:r>
      <w:r>
        <w:rPr>
          <w:rFonts w:hint="eastAsia" w:ascii="Times New Roman" w:hAnsi="Times New Roman" w:eastAsia="宋体" w:cs="Times New Roman"/>
          <w:color w:val="000000"/>
          <w:sz w:val="24"/>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供应商提供的货物、工程或者服务符合下列情形的，享受中小企业扶持政策：</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（1）在货物采购项目中，货物由中小企业制造，即货物由中小企业生产且使用该中小企业商号或者注册商标；</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（2）在工程采购项目中，工程由中小企业承建，即工程施工单位为中小企业；</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（3）在服务采购项目中，服务由中小企业承接，即提供服务的人员为中小企业依照《中华人民共和国劳动合同法》订立劳动合同的从业人员。</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在货物采购项目中，供应商提供的货物既有中小企业制造货物，也有大型企业制造货物的，不享受中小企业扶持政策。</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宋体" w:hAnsi="宋体" w:eastAsia="宋体" w:cs="Times New Roman"/>
          <w:b/>
          <w:bCs/>
          <w:color w:val="000000"/>
          <w:sz w:val="24"/>
          <w:highlight w:val="none"/>
          <w:lang w:val="zh-CN"/>
        </w:rPr>
        <w:t xml:space="preserve">33.9.2</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监狱企业定义：</w:t>
      </w:r>
      <w:r>
        <w:rPr>
          <w:rFonts w:hint="eastAsia" w:ascii="Times New Roman" w:hAnsi="Times New Roman" w:eastAsia="宋体" w:cs="Times New Roman"/>
          <w:color w:val="000000"/>
          <w:sz w:val="24"/>
          <w:highlight w:val="none"/>
          <w:lang w:val="zh-CN"/>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宋体" w:hAnsi="宋体" w:eastAsia="宋体" w:cs="Times New Roman"/>
          <w:b/>
          <w:bCs/>
          <w:color w:val="000000"/>
          <w:sz w:val="24"/>
          <w:highlight w:val="none"/>
          <w:lang w:val="zh-CN"/>
        </w:rPr>
        <w:t xml:space="preserve">33.9.3</w:t>
      </w:r>
      <w:r>
        <w:rPr>
          <w:rFonts w:hint="eastAsia" w:ascii="宋体" w:hAnsi="宋体" w:eastAsia="宋体" w:cs="Times New Roman"/>
          <w:b/>
          <w:bCs/>
          <w:color w:val="000000"/>
          <w:sz w:val="24"/>
          <w:highlight w:val="none"/>
        </w:rPr>
        <w:t xml:space="preserve"> </w:t>
      </w:r>
      <w:r>
        <w:rPr>
          <w:rFonts w:hint="eastAsia" w:ascii="宋体" w:hAnsi="宋体" w:eastAsia="宋体" w:cs="Times New Roman"/>
          <w:b/>
          <w:bCs/>
          <w:color w:val="000000"/>
          <w:sz w:val="24"/>
          <w:highlight w:val="none"/>
          <w:lang w:val="zh-CN"/>
        </w:rPr>
        <w:t xml:space="preserve">残疾人福利单位定义：</w:t>
      </w:r>
      <w:r>
        <w:rPr>
          <w:rFonts w:hint="eastAsia" w:ascii="Times New Roman" w:hAnsi="Times New Roman" w:eastAsia="宋体" w:cs="Times New Roman"/>
          <w:color w:val="000000"/>
          <w:sz w:val="24"/>
          <w:highlight w:val="none"/>
          <w:lang w:val="zh-CN"/>
        </w:rPr>
        <w:t xml:space="preserve">享受政府采购支持政策的残疾人福利性单位应当同时满足以下条件：</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（1）安置的残疾人占本单位在职职工人数的比例不低于25%（含25%），并且安置的残疾人人数不少于10 人（含10 人）；</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（2）依法与安置的每位残疾人签订了一年以上（含一年）的劳动合同或服务协议；</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（3）为安置的每位残疾人按月足额缴纳了基本养老保险、基本医疗保险、失业保险、工伤保险和生育保险等社会保险费；</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（4）通过银行等金融机构向安置的每位残疾人，按月支付了不低于单位所在区县适用的经省级人民政府批准的月最低工资标准的工资；</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（5）提供本单位制造的货物、承担的工程或者服务（以下简称产品），或者提供其他残疾人福利性单位制造的货物（不包括使用非残疾人福利性单位注册商标的货物）；</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33.9.4</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本项目是否专门面向中小企业预留采购份额见第一章《投标邀请》。</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33.9.5</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采购标的对应的中小企业划分标准所属行业见《投标人须知资料表》。</w:t>
      </w:r>
      <w:r>
        <w:rPr>
          <w:rFonts w:hint="eastAsia" w:ascii="Times New Roman" w:hAnsi="Times New Roman" w:eastAsia="宋体" w:cs="Times New Roman"/>
          <w:color w:val="000000"/>
          <w:sz w:val="24"/>
          <w:highlight w:val="none"/>
          <w:lang w:val="zh-CN"/>
        </w:rPr>
      </w:r>
      <w:r/>
    </w:p>
    <w:p>
      <w:pPr>
        <w:pStyle w:val="1023"/>
        <w:ind w:firstLine="480"/>
        <w:jc w:val="left"/>
        <w:spacing w:line="500" w:lineRule="exact"/>
        <w:tabs>
          <w:tab w:val="left" w:pos="1980" w:leader="none"/>
          <w:tab w:val="left" w:pos="2014" w:leader="none"/>
        </w:tabs>
        <w:rPr>
          <w:rFonts w:hint="eastAsia" w:ascii="Times New Roman" w:hAnsi="Times New Roman" w:eastAsia="宋体" w:cs="Times New Roman"/>
          <w:color w:val="000000"/>
          <w:sz w:val="24"/>
          <w:highlight w:val="none"/>
          <w:lang w:val="zh-CN"/>
        </w:rPr>
      </w:pPr>
      <w:r>
        <w:rPr>
          <w:rFonts w:hint="eastAsia" w:ascii="Times New Roman" w:hAnsi="Times New Roman" w:eastAsia="宋体" w:cs="Times New Roman"/>
          <w:color w:val="000000"/>
          <w:sz w:val="24"/>
          <w:highlight w:val="none"/>
          <w:lang w:val="zh-CN"/>
        </w:rPr>
        <w:t xml:space="preserve">33.9.6</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lang w:val="zh-CN"/>
        </w:rPr>
        <w:t xml:space="preserve">小微企业价格评审优惠的政策调整：见第四章《评标程序、评标方法和评标标准》。</w:t>
      </w:r>
      <w:r>
        <w:rPr>
          <w:rFonts w:hint="eastAsia" w:ascii="Times New Roman" w:hAnsi="Times New Roman" w:eastAsia="宋体" w:cs="Times New Roman"/>
          <w:color w:val="000000"/>
          <w:sz w:val="24"/>
          <w:highlight w:val="none"/>
          <w:lang w:val="zh-CN"/>
        </w:rPr>
      </w:r>
      <w:r/>
    </w:p>
    <w:p>
      <w:pPr>
        <w:pStyle w:val="1023"/>
        <w:ind w:firstLine="482"/>
        <w:jc w:val="left"/>
        <w:spacing w:line="500" w:lineRule="exact"/>
        <w:tabs>
          <w:tab w:val="left" w:pos="1980" w:leader="none"/>
          <w:tab w:val="left" w:pos="2014" w:leader="none"/>
        </w:tabs>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33.10政府采购中实施本国产品标准及相关政策</w:t>
      </w:r>
      <w:r>
        <w:rPr>
          <w:rFonts w:hint="eastAsia" w:ascii="宋体" w:hAnsi="宋体" w:eastAsia="宋体" w:cs="Times New Roman"/>
          <w:b/>
          <w:bCs/>
          <w:color w:val="000000"/>
          <w:sz w:val="24"/>
          <w:highlight w:val="none"/>
          <w:lang w:val="en-US" w:eastAsia="zh-CN"/>
        </w:rPr>
      </w:r>
      <w:r/>
    </w:p>
    <w:p>
      <w:pPr>
        <w:pStyle w:val="1023"/>
        <w:ind w:firstLine="480"/>
        <w:jc w:val="left"/>
        <w:spacing w:line="500" w:lineRule="exact"/>
        <w:tabs>
          <w:tab w:val="left" w:pos="1980" w:leader="none"/>
          <w:tab w:val="left" w:pos="2014" w:leader="none"/>
        </w:tabs>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1023"/>
        <w:ind w:firstLine="420"/>
        <w:rPr>
          <w:rFonts w:hint="eastAsia"/>
          <w:color w:val="000000"/>
          <w:szCs w:val="21"/>
          <w:highlight w:val="none"/>
        </w:rPr>
      </w:pPr>
      <w:r>
        <w:rPr>
          <w:rFonts w:hint="eastAsia"/>
          <w:color w:val="000000"/>
          <w:szCs w:val="21"/>
          <w:highlight w:val="none"/>
        </w:rPr>
      </w:r>
      <w:r/>
    </w:p>
    <w:p>
      <w:pPr>
        <w:pStyle w:val="1103"/>
        <w:rPr>
          <w:rFonts w:hint="eastAsia"/>
          <w:color w:val="000000"/>
          <w:highlight w:val="none"/>
        </w:rPr>
      </w:pPr>
      <w:r>
        <w:rPr>
          <w:rFonts w:hint="eastAsia"/>
          <w:color w:val="000000"/>
          <w:highlight w:val="none"/>
        </w:rPr>
      </w:r>
      <w:r/>
    </w:p>
    <w:p>
      <w:pPr>
        <w:pStyle w:val="1023"/>
        <w:jc w:val="center"/>
        <w:spacing w:line="360" w:lineRule="auto"/>
        <w:rPr>
          <w:rFonts w:hint="eastAsia"/>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第三章  </w:t>
      </w:r>
      <w:bookmarkEnd w:id="108"/>
      <w:r/>
      <w:bookmarkEnd w:id="109"/>
      <w:r/>
      <w:bookmarkEnd w:id="110"/>
      <w:r/>
      <w:bookmarkEnd w:id="112"/>
      <w:r/>
      <w:bookmarkEnd w:id="113"/>
      <w:r/>
      <w:bookmarkEnd w:id="114"/>
      <w:r/>
      <w:bookmarkEnd w:id="115"/>
      <w:r/>
      <w:bookmarkEnd w:id="116"/>
      <w:r/>
      <w:bookmarkEnd w:id="117"/>
      <w:r/>
      <w:bookmarkEnd w:id="118"/>
      <w:r/>
      <w:bookmarkEnd w:id="119"/>
      <w:r/>
      <w:bookmarkEnd w:id="120"/>
      <w:r/>
      <w:bookmarkEnd w:id="121"/>
      <w:r>
        <w:rPr>
          <w:b/>
          <w:color w:val="000000"/>
          <w:sz w:val="36"/>
          <w:szCs w:val="36"/>
          <w:highlight w:val="none"/>
        </w:rPr>
        <w:t xml:space="preserve">资格审查</w:t>
      </w:r>
      <w:bookmarkEnd w:id="111"/>
      <w:r/>
      <w:bookmarkStart w:id="239" w:name="_Toc487900382"/>
      <w:r>
        <w:rPr>
          <w:rFonts w:hint="eastAsia"/>
          <w:b/>
          <w:color w:val="000000"/>
          <w:sz w:val="36"/>
          <w:szCs w:val="36"/>
          <w:highlight w:val="none"/>
        </w:rPr>
      </w:r>
      <w:r/>
    </w:p>
    <w:p>
      <w:pPr>
        <w:pStyle w:val="1023"/>
        <w:ind w:firstLine="2891"/>
        <w:spacing w:line="360" w:lineRule="auto"/>
        <w:tabs>
          <w:tab w:val="left" w:pos="360" w:leader="none"/>
          <w:tab w:val="left" w:pos="900" w:leader="none"/>
        </w:tabs>
        <w:rPr>
          <w:b/>
          <w:color w:val="000000"/>
          <w:sz w:val="32"/>
          <w:szCs w:val="32"/>
          <w:highlight w:val="none"/>
        </w:rPr>
        <w:outlineLvl w:val="1"/>
      </w:pPr>
      <w:r/>
      <w:bookmarkStart w:id="240"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0"/>
      <w:r>
        <w:rPr>
          <w:b/>
          <w:color w:val="000000"/>
          <w:sz w:val="32"/>
          <w:szCs w:val="32"/>
          <w:highlight w:val="none"/>
        </w:rPr>
      </w:r>
      <w:r/>
    </w:p>
    <w:p>
      <w:pPr>
        <w:pStyle w:val="102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color w:val="000000"/>
          <w:sz w:val="24"/>
          <w:highlight w:val="none"/>
        </w:rPr>
        <w:t xml:space="preserve">开标结束后，采购人代表将根据《资格审查要求》中的规定，对投标人进行资格审查，并形成资格审查结果。</w:t>
      </w:r>
      <w:r>
        <w:rPr>
          <w:color w:val="000000"/>
          <w:sz w:val="24"/>
          <w:highlight w:val="none"/>
        </w:rPr>
      </w:r>
      <w:r/>
    </w:p>
    <w:p>
      <w:pPr>
        <w:pStyle w:val="102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《资格审查要求》中对格式有要求的，除招标文件另有规定外，均为“实质性格式”文件。</w:t>
      </w:r>
      <w:r>
        <w:rPr>
          <w:color w:val="000000"/>
          <w:sz w:val="24"/>
          <w:highlight w:val="none"/>
        </w:rPr>
      </w:r>
      <w:r/>
    </w:p>
    <w:p>
      <w:pPr>
        <w:pStyle w:val="102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color w:val="000000"/>
          <w:sz w:val="24"/>
          <w:highlight w:val="none"/>
        </w:rPr>
        <w:t xml:space="preserve">投标人《资格证明文件》有任何一项不符合《资格审查要求》的，资格审查不合格，其投标无效。</w:t>
      </w:r>
      <w:r>
        <w:rPr>
          <w:color w:val="000000"/>
          <w:sz w:val="24"/>
          <w:highlight w:val="none"/>
        </w:rPr>
      </w:r>
      <w:r/>
    </w:p>
    <w:p>
      <w:pPr>
        <w:pStyle w:val="1023"/>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资格审查合格的投标人不足3家的，不进行评标。</w:t>
      </w:r>
      <w:r>
        <w:rPr>
          <w:color w:val="000000"/>
          <w:sz w:val="24"/>
          <w:highlight w:val="none"/>
        </w:rPr>
      </w:r>
      <w:r/>
    </w:p>
    <w:p>
      <w:pPr>
        <w:pStyle w:val="1023"/>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3"/>
        <w:gridCol w:w="1638"/>
      </w:tblGrid>
      <w:tr>
        <w:trPr>
          <w:cantSplit/>
          <w:trHeight w:val="468"/>
          <w:tblHeader/>
        </w:trPr>
        <w:tc>
          <w:tcPr>
            <w:tcW w:w="454" w:type="dxa"/>
            <w:vAlign w:val="center"/>
            <w:textDirection w:val="lrTb"/>
            <w:noWrap w:val="false"/>
          </w:tcPr>
          <w:p>
            <w:pPr>
              <w:pStyle w:val="1023"/>
              <w:jc w:val="center"/>
              <w:tabs>
                <w:tab w:val="left" w:pos="1080" w:leader="none"/>
              </w:tabs>
              <w:rPr>
                <w:b/>
                <w:color w:val="000000"/>
                <w:sz w:val="24"/>
                <w:highlight w:val="none"/>
              </w:rPr>
            </w:pPr>
            <w:r/>
            <w:bookmarkStart w:id="241" w:name="_Hlt487972895"/>
            <w:r/>
            <w:bookmarkEnd w:id="241"/>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1023"/>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7" w:type="dxa"/>
            <w:vAlign w:val="center"/>
            <w:textDirection w:val="lrTb"/>
            <w:noWrap w:val="false"/>
          </w:tcPr>
          <w:p>
            <w:pPr>
              <w:pStyle w:val="1023"/>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2" w:type="dxa"/>
            <w:vAlign w:val="center"/>
            <w:textDirection w:val="lrTb"/>
            <w:noWrap w:val="false"/>
          </w:tcPr>
          <w:p>
            <w:pPr>
              <w:pStyle w:val="1023"/>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1023"/>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7" w:type="dxa"/>
            <w:vAlign w:val="center"/>
            <w:textDirection w:val="lrTb"/>
            <w:noWrap w:val="false"/>
          </w:tcPr>
          <w:p>
            <w:pPr>
              <w:pStyle w:val="1023"/>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2" w:type="dxa"/>
            <w:vAlign w:val="center"/>
            <w:textDirection w:val="lrTb"/>
            <w:noWrap w:val="false"/>
          </w:tcPr>
          <w:p>
            <w:pPr>
              <w:pStyle w:val="1023"/>
              <w:ind w:firstLine="720"/>
              <w:tabs>
                <w:tab w:val="left" w:pos="1080" w:leader="none"/>
              </w:tabs>
              <w:rPr>
                <w:rFonts w:hint="eastAsia"/>
                <w:color w:val="000000"/>
                <w:sz w:val="24"/>
                <w:highlight w:val="none"/>
              </w:rPr>
            </w:pPr>
            <w:r>
              <w:rPr>
                <w:rFonts w:hint="eastAsia"/>
                <w:color w:val="000000"/>
                <w:sz w:val="24"/>
                <w:highlight w:val="none"/>
              </w:rPr>
              <w:t xml:space="preserve">/</w:t>
            </w:r>
            <w:r>
              <w:rPr>
                <w:rFonts w:hint="eastAsia"/>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2</w:t>
            </w:r>
            <w:r>
              <w:rPr>
                <w:rFonts w:hint="eastAsia"/>
                <w:color w:val="000000"/>
                <w:sz w:val="24"/>
                <w:highlight w:val="none"/>
              </w:rPr>
            </w:r>
            <w:r/>
          </w:p>
        </w:tc>
        <w:tc>
          <w:tcPr>
            <w:tcW w:w="1067" w:type="dxa"/>
            <w:vAlign w:val="center"/>
            <w:textDirection w:val="lrTb"/>
            <w:noWrap w:val="false"/>
          </w:tcPr>
          <w:p>
            <w:pPr>
              <w:pStyle w:val="1023"/>
              <w:tabs>
                <w:tab w:val="left" w:pos="1080" w:leader="none"/>
              </w:tabs>
              <w:rPr>
                <w:color w:val="000000"/>
                <w:sz w:val="24"/>
                <w:highlight w:val="none"/>
              </w:rPr>
            </w:pPr>
            <w:r>
              <w:rPr>
                <w:rFonts w:hint="eastAsia" w:ascii="宋体" w:hAnsi="宋体"/>
                <w:bCs/>
                <w:color w:val="000000"/>
                <w:sz w:val="24"/>
                <w:highlight w:val="none"/>
              </w:rPr>
              <w:t xml:space="preserve">法人授权书</w:t>
            </w:r>
            <w:r>
              <w:rPr>
                <w:color w:val="000000"/>
                <w:sz w:val="24"/>
                <w:highlight w:val="none"/>
              </w:rPr>
            </w:r>
            <w:r/>
          </w:p>
        </w:tc>
        <w:tc>
          <w:tcPr>
            <w:tcW w:w="2597" w:type="dxa"/>
            <w:vAlign w:val="center"/>
            <w:textDirection w:val="lrTb"/>
            <w:noWrap w:val="false"/>
          </w:tcPr>
          <w:p>
            <w:pPr>
              <w:pStyle w:val="1023"/>
              <w:jc w:val="left"/>
              <w:spacing w:line="360" w:lineRule="auto"/>
              <w:widowControl/>
              <w:rPr>
                <w:color w:val="000000"/>
                <w:sz w:val="24"/>
                <w:highlight w:val="none"/>
              </w:rPr>
            </w:pPr>
            <w:r>
              <w:rPr>
                <w:rFonts w:hint="eastAsia" w:ascii="宋体" w:hAnsi="宋体"/>
                <w:bCs/>
                <w:color w:val="000000"/>
                <w:sz w:val="24"/>
                <w:highlight w:val="none"/>
              </w:rPr>
              <w:t xml:space="preserve">法人授权书、法定代表人身份证及被授权人身份证</w:t>
            </w:r>
            <w:r>
              <w:rPr>
                <w:color w:val="000000"/>
                <w:sz w:val="24"/>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3</w:t>
            </w:r>
            <w:r>
              <w:rPr>
                <w:rFonts w:hint="eastAsia"/>
                <w:color w:val="000000"/>
                <w:sz w:val="24"/>
                <w:highlight w:val="none"/>
              </w:rPr>
            </w:r>
            <w:r/>
          </w:p>
        </w:tc>
        <w:tc>
          <w:tcPr>
            <w:tcW w:w="1067" w:type="dxa"/>
            <w:vAlign w:val="center"/>
            <w:textDirection w:val="lrTb"/>
            <w:noWrap w:val="false"/>
          </w:tcPr>
          <w:p>
            <w:pPr>
              <w:pStyle w:val="1023"/>
              <w:tabs>
                <w:tab w:val="left" w:pos="1080" w:leader="none"/>
              </w:tabs>
              <w:rPr>
                <w:color w:val="000000"/>
                <w:sz w:val="24"/>
                <w:highlight w:val="none"/>
              </w:rPr>
            </w:pPr>
            <w:r>
              <w:rPr>
                <w:rFonts w:hint="eastAsia"/>
                <w:color w:val="000000"/>
                <w:sz w:val="24"/>
                <w:highlight w:val="none"/>
              </w:rPr>
              <w:t xml:space="preserve">投标人资格声明</w:t>
            </w:r>
            <w:r>
              <w:rPr>
                <w:color w:val="000000"/>
                <w:sz w:val="24"/>
                <w:highlight w:val="none"/>
              </w:rPr>
            </w:r>
            <w:r/>
          </w:p>
        </w:tc>
        <w:tc>
          <w:tcPr>
            <w:tcW w:w="2597" w:type="dxa"/>
            <w:vAlign w:val="center"/>
            <w:textDirection w:val="lrTb"/>
            <w:noWrap w:val="false"/>
          </w:tcPr>
          <w:p>
            <w:pPr>
              <w:pStyle w:val="1023"/>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hint="eastAsia" w:eastAsia="黑体"/>
                <w:color w:val="000000"/>
                <w:sz w:val="36"/>
                <w:szCs w:val="36"/>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4</w:t>
            </w:r>
            <w:r>
              <w:rPr>
                <w:rFonts w:hint="eastAsia"/>
                <w:color w:val="000000"/>
                <w:sz w:val="24"/>
                <w:highlight w:val="none"/>
              </w:rPr>
            </w:r>
            <w:r/>
          </w:p>
        </w:tc>
        <w:tc>
          <w:tcPr>
            <w:tcW w:w="1067"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投标人信用记录</w:t>
            </w:r>
            <w:r>
              <w:rPr>
                <w:color w:val="000000"/>
                <w:sz w:val="24"/>
                <w:highlight w:val="none"/>
              </w:rPr>
            </w:r>
            <w:r/>
          </w:p>
        </w:tc>
        <w:tc>
          <w:tcPr>
            <w:tcW w:w="2597" w:type="dxa"/>
            <w:vAlign w:val="center"/>
            <w:textDirection w:val="lrTb"/>
            <w:noWrap w:val="false"/>
          </w:tcPr>
          <w:p>
            <w:pPr>
              <w:pStyle w:val="1023"/>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1023"/>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截止时点：投标截止时间以后、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1023"/>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信用信息查询记录和证据留存具体方式：查询结果网页打印页作为查询记录和证据，与其他采购文件一并保存；</w:t>
            </w:r>
            <w:r>
              <w:rPr>
                <w:color w:val="000000"/>
                <w:sz w:val="24"/>
                <w:highlight w:val="none"/>
              </w:rPr>
            </w:r>
            <w:r/>
          </w:p>
          <w:p>
            <w:pPr>
              <w:pStyle w:val="1023"/>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rFonts w:hint="eastAsia" w:ascii="宋体" w:hAnsi="宋体"/>
                <w:bCs/>
                <w:color w:val="000000"/>
                <w:sz w:val="24"/>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无须投标人提供，由采购人查询。</w:t>
            </w:r>
            <w:r>
              <w:rPr>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5</w:t>
            </w:r>
            <w:r>
              <w:rPr>
                <w:rFonts w:hint="eastAsia"/>
                <w:color w:val="000000"/>
                <w:sz w:val="24"/>
                <w:highlight w:val="none"/>
              </w:rPr>
            </w:r>
            <w:r/>
          </w:p>
        </w:tc>
        <w:tc>
          <w:tcPr>
            <w:tcW w:w="1067" w:type="dxa"/>
            <w:vAlign w:val="center"/>
            <w:textDirection w:val="lrTb"/>
            <w:noWrap w:val="false"/>
          </w:tcPr>
          <w:p>
            <w:pPr>
              <w:pStyle w:val="1023"/>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7" w:type="dxa"/>
            <w:vAlign w:val="center"/>
            <w:textDirection w:val="lrTb"/>
            <w:noWrap w:val="false"/>
          </w:tcPr>
          <w:p>
            <w:pPr>
              <w:pStyle w:val="1023"/>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rPr>
                <w:rFonts w:hint="eastAsia" w:ascii="宋体" w:hAnsi="宋体"/>
                <w:bCs/>
                <w:color w:val="000000"/>
                <w:sz w:val="24"/>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格式见《投标文件格式》</w:t>
            </w:r>
            <w:r>
              <w:rPr>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6</w:t>
            </w:r>
            <w:r>
              <w:rPr>
                <w:rFonts w:hint="eastAsia"/>
                <w:color w:val="000000"/>
                <w:sz w:val="24"/>
                <w:highlight w:val="none"/>
              </w:rPr>
            </w:r>
            <w:r/>
          </w:p>
        </w:tc>
        <w:tc>
          <w:tcPr>
            <w:tcW w:w="1067"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7" w:type="dxa"/>
            <w:vAlign w:val="center"/>
            <w:textDirection w:val="lrTb"/>
            <w:noWrap w:val="false"/>
          </w:tcPr>
          <w:p>
            <w:pPr>
              <w:pStyle w:val="1023"/>
              <w:tabs>
                <w:tab w:val="left" w:pos="1080" w:leader="none"/>
              </w:tabs>
              <w:rPr>
                <w:rFonts w:hint="eastAsia"/>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rFonts w:hint="eastAsia"/>
                <w:color w:val="000000"/>
                <w:sz w:val="24"/>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《残疾人福利性单位声明函》格式见《投标文件格式》</w:t>
            </w:r>
            <w:r>
              <w:rPr>
                <w:color w:val="000000"/>
                <w:sz w:val="24"/>
                <w:highlight w:val="none"/>
              </w:rPr>
            </w:r>
            <w:r/>
          </w:p>
        </w:tc>
      </w:tr>
      <w:tr>
        <w:trPr>
          <w:cantSplit/>
          <w:trHeight w:val="468"/>
        </w:trPr>
        <w:tc>
          <w:tcPr>
            <w:tcW w:w="454" w:type="dxa"/>
            <w:vAlign w:val="center"/>
            <w:textDirection w:val="lrTb"/>
            <w:noWrap w:val="false"/>
          </w:tcPr>
          <w:p>
            <w:pPr>
              <w:pStyle w:val="1023"/>
              <w:jc w:val="center"/>
              <w:tabs>
                <w:tab w:val="left" w:pos="1080" w:leader="none"/>
              </w:tabs>
              <w:rPr>
                <w:rFonts w:hint="eastAsia"/>
                <w:b/>
                <w:color w:val="000000"/>
                <w:sz w:val="24"/>
                <w:highlight w:val="none"/>
              </w:rPr>
            </w:pPr>
            <w:r>
              <w:rPr>
                <w:rFonts w:hint="eastAsia"/>
                <w:b/>
                <w:color w:val="000000"/>
                <w:sz w:val="24"/>
                <w:highlight w:val="none"/>
              </w:rPr>
              <w:t xml:space="preserve">7</w:t>
            </w:r>
            <w:r>
              <w:rPr>
                <w:rFonts w:hint="eastAsia"/>
                <w:b/>
                <w:color w:val="000000"/>
                <w:sz w:val="24"/>
                <w:highlight w:val="none"/>
              </w:rPr>
            </w:r>
            <w:r/>
          </w:p>
        </w:tc>
        <w:tc>
          <w:tcPr>
            <w:tcW w:w="1067" w:type="dxa"/>
            <w:vAlign w:val="center"/>
            <w:textDirection w:val="lrTb"/>
            <w:noWrap w:val="false"/>
          </w:tcPr>
          <w:p>
            <w:pPr>
              <w:pStyle w:val="1023"/>
              <w:tabs>
                <w:tab w:val="left" w:pos="1080" w:leader="none"/>
              </w:tabs>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t xml:space="preserve">本项目的特定资格要求</w:t>
            </w:r>
            <w:r>
              <w:rPr>
                <w:rFonts w:ascii="Times New Roman" w:hAnsi="Times New Roman" w:eastAsia="宋体" w:cs="Times New Roman"/>
                <w:color w:val="000000"/>
                <w:sz w:val="24"/>
                <w:highlight w:val="none"/>
              </w:rPr>
            </w:r>
            <w:r/>
          </w:p>
        </w:tc>
        <w:tc>
          <w:tcPr>
            <w:tcW w:w="2597" w:type="dxa"/>
            <w:vAlign w:val="center"/>
            <w:textDirection w:val="lrTb"/>
            <w:noWrap w:val="false"/>
          </w:tcPr>
          <w:p>
            <w:pPr>
              <w:pStyle w:val="1023"/>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详见《第一章   投标邀请》</w:t>
            </w:r>
            <w:r>
              <w:rPr>
                <w:rFonts w:hint="eastAsia" w:ascii="Times New Roman" w:hAnsi="Times New Roman" w:eastAsia="宋体" w:cs="Times New Roman"/>
                <w:color w:val="000000"/>
                <w:sz w:val="24"/>
                <w:highlight w:val="none"/>
              </w:rPr>
            </w:r>
            <w:r/>
          </w:p>
        </w:tc>
        <w:tc>
          <w:tcPr>
            <w:tcW w:w="882" w:type="dxa"/>
            <w:vAlign w:val="center"/>
            <w:textDirection w:val="lrTb"/>
            <w:noWrap w:val="false"/>
          </w:tcPr>
          <w:p>
            <w:pPr>
              <w:pStyle w:val="1023"/>
              <w:tabs>
                <w:tab w:val="left" w:pos="10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必须在有效期内</w:t>
            </w:r>
            <w:r>
              <w:rPr>
                <w:rFonts w:hint="eastAsia" w:ascii="Times New Roman" w:hAnsi="Times New Roman" w:eastAsia="宋体" w:cs="Times New Roman"/>
                <w:color w:val="000000"/>
                <w:sz w:val="24"/>
                <w:highlight w:val="none"/>
              </w:rPr>
            </w:r>
            <w:r/>
          </w:p>
        </w:tc>
      </w:tr>
      <w:tr>
        <w:trPr>
          <w:cantSplit/>
          <w:trHeight w:val="4548"/>
        </w:trPr>
        <w:tc>
          <w:tcPr>
            <w:tcW w:w="454" w:type="dxa"/>
            <w:vAlign w:val="center"/>
            <w:textDirection w:val="lrTb"/>
            <w:noWrap w:val="false"/>
          </w:tcPr>
          <w:p>
            <w:pPr>
              <w:pStyle w:val="1023"/>
              <w:jc w:val="center"/>
              <w:tabs>
                <w:tab w:val="left" w:pos="1080" w:leader="none"/>
              </w:tabs>
              <w:rPr>
                <w:rFonts w:hint="eastAsia"/>
                <w:color w:val="000000"/>
                <w:sz w:val="24"/>
                <w:highlight w:val="none"/>
              </w:rPr>
            </w:pPr>
            <w:r>
              <w:rPr>
                <w:rFonts w:hint="eastAsia"/>
                <w:color w:val="000000"/>
                <w:sz w:val="24"/>
                <w:highlight w:val="none"/>
              </w:rPr>
              <w:t xml:space="preserve">8</w:t>
            </w:r>
            <w:r>
              <w:rPr>
                <w:rFonts w:hint="eastAsia"/>
                <w:color w:val="000000"/>
                <w:sz w:val="24"/>
                <w:highlight w:val="none"/>
              </w:rPr>
            </w:r>
            <w:r/>
          </w:p>
        </w:tc>
        <w:tc>
          <w:tcPr>
            <w:tcW w:w="1067" w:type="dxa"/>
            <w:vAlign w:val="center"/>
            <w:textDirection w:val="lrTb"/>
            <w:noWrap w:val="false"/>
          </w:tcPr>
          <w:p>
            <w:pPr>
              <w:pStyle w:val="1023"/>
              <w:tabs>
                <w:tab w:val="left" w:pos="1080" w:leader="none"/>
              </w:tabs>
              <w:rPr>
                <w:rFonts w:hint="eastAsia"/>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rFonts w:hint="eastAsia"/>
                <w:color w:val="000000"/>
                <w:sz w:val="24"/>
                <w:highlight w:val="none"/>
              </w:rPr>
            </w:r>
            <w:r/>
          </w:p>
        </w:tc>
        <w:tc>
          <w:tcPr>
            <w:tcW w:w="2597"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 xml:space="preserve">牵头</w:t>
            </w:r>
            <w:r>
              <w:rPr>
                <w:color w:val="000000"/>
                <w:sz w:val="24"/>
                <w:highlight w:val="none"/>
              </w:rPr>
              <w:t xml:space="preserve">、协调工作。该联合协议应当作为投标文件的组成部分，与投标文件其他内容同时递交。</w:t>
            </w:r>
            <w:r>
              <w:rPr>
                <w:color w:val="000000"/>
                <w:sz w:val="24"/>
                <w:highlight w:val="none"/>
              </w:rPr>
            </w:r>
            <w:r/>
          </w:p>
          <w:p>
            <w:pPr>
              <w:pStyle w:val="1023"/>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1023"/>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1023"/>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1023"/>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1023"/>
              <w:tabs>
                <w:tab w:val="left" w:pos="1080" w:leader="none"/>
              </w:tabs>
              <w:rPr>
                <w:color w:val="000000"/>
                <w:sz w:val="24"/>
                <w:highlight w:val="none"/>
              </w:rPr>
            </w:pPr>
            <w:r>
              <w:rPr>
                <w:color w:val="000000"/>
                <w:sz w:val="24"/>
                <w:highlight w:val="none"/>
              </w:rPr>
              <w:t xml:space="preserve">6、若联合体中任一成员单位中途退出，则该联合体的投标无效。</w:t>
            </w:r>
            <w:r>
              <w:rPr>
                <w:color w:val="000000"/>
                <w:sz w:val="24"/>
                <w:highlight w:val="none"/>
              </w:rPr>
            </w:r>
            <w:r/>
          </w:p>
          <w:p>
            <w:pPr>
              <w:pStyle w:val="1023"/>
              <w:tabs>
                <w:tab w:val="left" w:pos="1080" w:leader="none"/>
              </w:tabs>
              <w:rPr>
                <w:color w:val="000000"/>
                <w:sz w:val="24"/>
                <w:highlight w:val="none"/>
              </w:rPr>
            </w:pPr>
            <w:r>
              <w:rPr>
                <w:color w:val="000000"/>
                <w:sz w:val="24"/>
                <w:highlight w:val="none"/>
              </w:rPr>
              <w:t xml:space="preserve">7、本项目不接受联合体投标</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投标人不得为联合体</w:t>
            </w:r>
            <w:r>
              <w:rPr>
                <w:color w:val="000000"/>
                <w:sz w:val="24"/>
                <w:highlight w:val="none"/>
              </w:rPr>
              <w:t xml:space="preserve">。</w:t>
            </w:r>
            <w:r>
              <w:rPr>
                <w:color w:val="000000"/>
                <w:sz w:val="24"/>
                <w:highlight w:val="none"/>
              </w:rPr>
            </w:r>
            <w:r/>
          </w:p>
        </w:tc>
        <w:tc>
          <w:tcPr>
            <w:tcW w:w="882" w:type="dxa"/>
            <w:vAlign w:val="center"/>
            <w:textDirection w:val="lrTb"/>
            <w:noWrap w:val="false"/>
          </w:tcPr>
          <w:p>
            <w:pPr>
              <w:pStyle w:val="1023"/>
              <w:tabs>
                <w:tab w:val="left" w:pos="1080" w:leader="none"/>
              </w:tabs>
              <w:rPr>
                <w:color w:val="000000"/>
                <w:sz w:val="24"/>
                <w:highlight w:val="none"/>
              </w:rPr>
            </w:pPr>
            <w:r>
              <w:rPr>
                <w:color w:val="000000"/>
                <w:sz w:val="24"/>
                <w:highlight w:val="none"/>
              </w:rPr>
              <w:t xml:space="preserve">格式见《投标文件格式》 </w:t>
            </w:r>
            <w:r>
              <w:rPr>
                <w:color w:val="000000"/>
                <w:sz w:val="24"/>
                <w:highlight w:val="none"/>
              </w:rPr>
            </w:r>
            <w:r/>
          </w:p>
        </w:tc>
      </w:tr>
    </w:tbl>
    <w:p>
      <w:pPr>
        <w:pStyle w:val="1090"/>
        <w:ind w:firstLine="0"/>
        <w:tabs>
          <w:tab w:val="left" w:pos="567" w:leader="none"/>
        </w:tabs>
        <w:rPr>
          <w:rFonts w:hint="eastAsia"/>
          <w:color w:val="000000"/>
          <w:highlight w:val="none"/>
        </w:rPr>
      </w:pPr>
      <w:r/>
      <w:bookmarkEnd w:id="239"/>
      <w:r/>
      <w:bookmarkStart w:id="242" w:name="_Toc226965858"/>
      <w:r/>
      <w:bookmarkStart w:id="243" w:name="_Toc353873940"/>
      <w:r/>
      <w:bookmarkStart w:id="244" w:name="_Toc353825550"/>
      <w:r/>
      <w:bookmarkStart w:id="245" w:name="_Toc127161490"/>
      <w:r/>
      <w:bookmarkStart w:id="246" w:name="_Toc127151779"/>
      <w:r>
        <w:rPr>
          <w:rFonts w:hint="eastAsia"/>
          <w:color w:val="000000"/>
          <w:highlight w:val="none"/>
        </w:rPr>
      </w:r>
      <w:r/>
    </w:p>
    <w:p>
      <w:pPr>
        <w:pStyle w:val="1090"/>
        <w:ind w:firstLine="240"/>
        <w:tabs>
          <w:tab w:val="left" w:pos="567" w:leader="none"/>
        </w:tabs>
        <w:rPr>
          <w:rFonts w:hint="eastAsia"/>
          <w:color w:val="000000"/>
          <w:highlight w:val="none"/>
        </w:rPr>
      </w:pPr>
      <w:r>
        <w:rPr>
          <w:rFonts w:hint="eastAsia"/>
          <w:color w:val="000000"/>
          <w:highlight w:val="none"/>
        </w:rPr>
      </w:r>
      <w:r/>
    </w:p>
    <w:p>
      <w:pPr>
        <w:pStyle w:val="1023"/>
        <w:jc w:val="center"/>
        <w:spacing w:line="360" w:lineRule="auto"/>
        <w:rPr>
          <w:b/>
          <w:color w:val="000000"/>
          <w:sz w:val="36"/>
          <w:szCs w:val="36"/>
          <w:highlight w:val="none"/>
        </w:rPr>
        <w:outlineLvl w:val="0"/>
      </w:pPr>
      <w:r/>
      <w:bookmarkStart w:id="247" w:name="_Toc99301423"/>
      <w:r>
        <w:rPr>
          <w:b/>
          <w:color w:val="000000"/>
          <w:sz w:val="36"/>
          <w:szCs w:val="36"/>
          <w:highlight w:val="none"/>
        </w:rPr>
        <w:br w:type="page" w:clear="all"/>
      </w:r>
      <w:r>
        <w:rPr>
          <w:b/>
          <w:color w:val="000000"/>
          <w:sz w:val="36"/>
          <w:szCs w:val="36"/>
          <w:highlight w:val="none"/>
        </w:rPr>
        <w:t xml:space="preserve">第四章   </w:t>
      </w:r>
      <w:bookmarkEnd w:id="242"/>
      <w:r/>
      <w:bookmarkEnd w:id="243"/>
      <w:r/>
      <w:bookmarkEnd w:id="244"/>
      <w:r/>
      <w:bookmarkEnd w:id="245"/>
      <w:r/>
      <w:bookmarkEnd w:id="246"/>
      <w:r/>
      <w:bookmarkStart w:id="248" w:name="_Hlt164229061"/>
      <w:r/>
      <w:bookmarkEnd w:id="248"/>
      <w:r>
        <w:rPr>
          <w:b/>
          <w:color w:val="000000"/>
          <w:sz w:val="36"/>
          <w:szCs w:val="36"/>
          <w:highlight w:val="none"/>
        </w:rPr>
        <w:t xml:space="preserve">评标程序、评标方法和评标标准</w:t>
      </w:r>
      <w:bookmarkEnd w:id="247"/>
      <w:r>
        <w:rPr>
          <w:b/>
          <w:color w:val="000000"/>
          <w:sz w:val="36"/>
          <w:szCs w:val="36"/>
          <w:highlight w:val="none"/>
        </w:rPr>
      </w:r>
      <w:r/>
    </w:p>
    <w:p>
      <w:pPr>
        <w:pStyle w:val="1023"/>
        <w:ind w:firstLine="2570"/>
        <w:jc w:val="left"/>
        <w:spacing w:line="360" w:lineRule="auto"/>
        <w:tabs>
          <w:tab w:val="left" w:pos="360" w:leader="none"/>
          <w:tab w:val="left" w:pos="900" w:leader="none"/>
        </w:tabs>
        <w:rPr>
          <w:b/>
          <w:color w:val="000000"/>
          <w:sz w:val="32"/>
          <w:szCs w:val="32"/>
          <w:highlight w:val="none"/>
        </w:rPr>
        <w:outlineLvl w:val="1"/>
      </w:pPr>
      <w:r>
        <w:rPr>
          <w:rFonts w:hint="eastAsia"/>
          <w:b/>
          <w:color w:val="000000"/>
          <w:sz w:val="32"/>
          <w:szCs w:val="32"/>
          <w:highlight w:val="none"/>
        </w:rPr>
        <w:t xml:space="preserve">第一节 符合性审查程序</w:t>
      </w:r>
      <w:r>
        <w:rPr>
          <w:b/>
          <w:color w:val="000000"/>
          <w:sz w:val="32"/>
          <w:szCs w:val="32"/>
          <w:highlight w:val="none"/>
        </w:rPr>
      </w:r>
      <w:r/>
    </w:p>
    <w:p>
      <w:pPr>
        <w:pStyle w:val="1023"/>
        <w:ind w:firstLine="480"/>
        <w:spacing w:line="360" w:lineRule="auto"/>
        <w:tabs>
          <w:tab w:val="left" w:pos="360" w:leader="none"/>
        </w:tabs>
        <w:rPr>
          <w:color w:val="000000"/>
          <w:sz w:val="24"/>
          <w:highlight w:val="none"/>
        </w:rPr>
        <w:outlineLvl w:val="1"/>
      </w:pPr>
      <w:r/>
      <w:bookmarkStart w:id="249" w:name="_Toc353873941"/>
      <w:r/>
      <w:bookmarkStart w:id="250" w:name="_Toc353825551"/>
      <w:r>
        <w:rPr>
          <w:rFonts w:ascii="Symbol" w:hAnsi="Symbol" w:cs="Symbol"/>
          <w:color w:val="000000"/>
          <w:sz w:val="24"/>
          <w:highlight w:val="none"/>
        </w:rPr>
        <w:t xml:space="preserve">一、</w:t>
      </w:r>
      <w:r>
        <w:rPr>
          <w:color w:val="000000"/>
          <w:sz w:val="24"/>
          <w:highlight w:val="none"/>
        </w:rPr>
        <w:t xml:space="preserve">评标委员会对资格审查合格的投标人的投标文件进行符合性审查，以确定其是否满足招标文件的实质性要求。</w:t>
      </w:r>
      <w:bookmarkStart w:id="251" w:name="_Toc520356167"/>
      <w:r>
        <w:rPr>
          <w:color w:val="000000"/>
          <w:sz w:val="24"/>
          <w:highlight w:val="none"/>
        </w:rPr>
      </w:r>
      <w:r/>
    </w:p>
    <w:p>
      <w:pPr>
        <w:pStyle w:val="1023"/>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评标委员会根据《符合性审查</w:t>
      </w:r>
      <w:r>
        <w:rPr>
          <w:rFonts w:hint="eastAsia"/>
          <w:color w:val="000000"/>
          <w:sz w:val="24"/>
          <w:highlight w:val="none"/>
        </w:rPr>
        <w:t xml:space="preserve">要求</w:t>
      </w:r>
      <w:r>
        <w:rPr>
          <w:color w:val="000000"/>
          <w:sz w:val="24"/>
          <w:highlight w:val="none"/>
        </w:rPr>
        <w:t xml:space="preserve">》中规定的审查因素和审查内容，对投标人的投标文件是否实质上响应招标文件进行符合性审查，并形成符合性审查评审结果。</w:t>
      </w:r>
      <w:r>
        <w:rPr>
          <w:rFonts w:hint="eastAsia"/>
          <w:color w:val="000000"/>
          <w:sz w:val="24"/>
          <w:highlight w:val="none"/>
        </w:rPr>
        <w:t xml:space="preserve">投标文件不符合《</w:t>
      </w:r>
      <w:r>
        <w:rPr>
          <w:color w:val="000000"/>
          <w:sz w:val="24"/>
          <w:highlight w:val="none"/>
        </w:rPr>
        <w:t xml:space="preserve">符合性审查</w:t>
      </w:r>
      <w:r>
        <w:rPr>
          <w:rFonts w:hint="eastAsia"/>
          <w:color w:val="000000"/>
          <w:sz w:val="24"/>
          <w:highlight w:val="none"/>
        </w:rPr>
        <w:t xml:space="preserve">要求》</w:t>
      </w:r>
      <w:bookmarkEnd w:id="251"/>
      <w:r>
        <w:rPr>
          <w:rFonts w:hint="eastAsia"/>
          <w:color w:val="000000"/>
          <w:sz w:val="24"/>
          <w:highlight w:val="none"/>
        </w:rPr>
        <w:t xml:space="preserve">的，投标无效。</w:t>
      </w:r>
      <w:r>
        <w:rPr>
          <w:color w:val="000000"/>
          <w:sz w:val="24"/>
          <w:highlight w:val="none"/>
        </w:rPr>
      </w:r>
      <w:r/>
    </w:p>
    <w:p>
      <w:pPr>
        <w:pStyle w:val="1103"/>
        <w:rPr>
          <w:color w:val="000000"/>
          <w:highlight w:val="none"/>
        </w:rPr>
      </w:pPr>
      <w:r>
        <w:rPr>
          <w:color w:val="000000"/>
          <w:highlight w:val="none"/>
        </w:rPr>
      </w:r>
      <w:r/>
    </w:p>
    <w:p>
      <w:pPr>
        <w:pStyle w:val="1023"/>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03"/>
        <w:ind w:firstLine="602"/>
        <w:rPr>
          <w:color w:val="000000"/>
          <w:highlight w:val="none"/>
        </w:rPr>
      </w:pPr>
      <w:r>
        <w:rPr>
          <w:b/>
          <w:color w:val="000000"/>
          <w:sz w:val="30"/>
          <w:szCs w:val="30"/>
          <w:highlight w:val="none"/>
        </w:rPr>
        <w:t xml:space="preserve">一、符合性审查要求</w:t>
      </w:r>
      <w:r>
        <w:rPr>
          <w:color w:val="000000"/>
          <w:highlight w:val="none"/>
        </w:rPr>
      </w:r>
      <w:r/>
    </w:p>
    <w:tbl>
      <w:tblPr>
        <w:tblW w:w="4996"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1757"/>
        <w:gridCol w:w="4464"/>
        <w:gridCol w:w="2169"/>
      </w:tblGrid>
      <w:tr>
        <w:trPr>
          <w:trHeight w:val="300"/>
        </w:trPr>
        <w:tc>
          <w:tcPr>
            <w:tcW w:w="480" w:type="dxa"/>
            <w:vAlign w:val="center"/>
            <w:textDirection w:val="lrTb"/>
            <w:noWrap w:val="false"/>
          </w:tcPr>
          <w:p>
            <w:pPr>
              <w:pStyle w:val="1023"/>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1023"/>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404" w:type="dxa"/>
            <w:vAlign w:val="center"/>
            <w:textDirection w:val="lrTb"/>
            <w:noWrap w:val="false"/>
          </w:tcPr>
          <w:p>
            <w:pPr>
              <w:pStyle w:val="1023"/>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168" w:type="dxa"/>
            <w:vAlign w:val="center"/>
            <w:textDirection w:val="lrTb"/>
            <w:noWrap w:val="false"/>
          </w:tcPr>
          <w:p>
            <w:pPr>
              <w:pStyle w:val="1023"/>
              <w:jc w:val="center"/>
              <w:widowControl/>
              <w:rPr>
                <w:rFonts w:hint="eastAsia"/>
                <w:b/>
                <w:color w:val="000000"/>
                <w:sz w:val="24"/>
                <w:highlight w:val="none"/>
              </w:rPr>
            </w:pPr>
            <w:r>
              <w:rPr>
                <w:rFonts w:hint="eastAsia"/>
                <w:b/>
                <w:color w:val="000000"/>
                <w:sz w:val="24"/>
                <w:highlight w:val="none"/>
              </w:rPr>
              <w:t xml:space="preserve">格式要求</w:t>
            </w:r>
            <w:r>
              <w:rPr>
                <w:rFonts w:hint="eastAsia"/>
                <w:b/>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投标函</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投标函</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color w:val="000000"/>
                <w:sz w:val="24"/>
                <w:highlight w:val="none"/>
              </w:rPr>
              <w:t xml:space="preserve">格式见《投标文件格式》</w:t>
            </w: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投标完整性</w:t>
            </w:r>
            <w:r>
              <w:rPr>
                <w:color w:val="000000"/>
                <w:sz w:val="24"/>
                <w:highlight w:val="none"/>
              </w:rPr>
            </w:r>
            <w:r/>
          </w:p>
        </w:tc>
        <w:tc>
          <w:tcPr>
            <w:tcW w:w="2404" w:type="dxa"/>
            <w:vAlign w:val="center"/>
            <w:textDirection w:val="lrTb"/>
            <w:noWrap w:val="false"/>
          </w:tcPr>
          <w:p>
            <w:pPr>
              <w:pStyle w:val="1023"/>
              <w:jc w:val="left"/>
              <w:widowControl/>
              <w:rPr>
                <w:rFonts w:hint="eastAsia"/>
                <w:color w:val="000000"/>
                <w:sz w:val="24"/>
                <w:highlight w:val="none"/>
              </w:rPr>
            </w:pPr>
            <w:r>
              <w:rPr>
                <w:rFonts w:hint="eastAsia"/>
                <w:color w:val="000000"/>
                <w:sz w:val="24"/>
                <w:highlight w:val="none"/>
              </w:rPr>
              <w:t xml:space="preserve">报价明细表未有缺项、漏项；</w:t>
            </w:r>
            <w:r>
              <w:rPr>
                <w:rFonts w:hint="eastAsia"/>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投标报价</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投标报价未超过最高限价（总价最高限价及单价最高限价）或预算价的</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color w:val="000000"/>
                <w:sz w:val="24"/>
                <w:highlight w:val="none"/>
              </w:rPr>
              <w:t xml:space="preserve">出现可选择性或可调整的报价（招标文件另有规定的除外）</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投标有效期</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按照招标文件要求签署、加盖公章的；</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w:t>
            </w:r>
            <w:r>
              <w:rPr>
                <w:color w:val="000000"/>
                <w:sz w:val="24"/>
                <w:highlight w:val="none"/>
              </w:rPr>
              <w:t xml:space="preserve">招标文件</w:t>
            </w:r>
            <w:r>
              <w:rPr>
                <w:rFonts w:hint="eastAsia"/>
                <w:color w:val="000000"/>
                <w:sz w:val="24"/>
                <w:highlight w:val="none"/>
              </w:rPr>
              <w:t xml:space="preserve">要求提供；</w:t>
            </w:r>
            <w:r>
              <w:rPr>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投标文件满足招标文件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分包承担主体具备《投标人须知资料表》载明的资质条件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按招标文件规定签订并提供分包意向协议原件的电子件的；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12</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报价合理性</w:t>
            </w:r>
            <w:r>
              <w:rPr>
                <w:color w:val="000000"/>
                <w:sz w:val="24"/>
                <w:highlight w:val="none"/>
              </w:rPr>
            </w:r>
            <w:r/>
          </w:p>
        </w:tc>
        <w:tc>
          <w:tcPr>
            <w:tcW w:w="2404" w:type="dxa"/>
            <w:vAlign w:val="center"/>
            <w:textDirection w:val="lrTb"/>
            <w:noWrap w:val="false"/>
          </w:tcPr>
          <w:p>
            <w:pPr>
              <w:pStyle w:val="1023"/>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r>
              <w:rPr>
                <w:rFonts w:hint="eastAsia" w:ascii="宋体" w:hAnsi="宋体"/>
                <w:color w:val="000000"/>
                <w:sz w:val="24"/>
                <w:highlight w:val="none"/>
              </w:rPr>
            </w:r>
            <w:r/>
          </w:p>
          <w:p>
            <w:pPr>
              <w:pStyle w:val="1023"/>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1、投标（响应）报价低于采购项目预算50%的，即投标（响应）报价&lt;采购项目预算×50%；</w:t>
            </w:r>
            <w:r>
              <w:rPr>
                <w:rFonts w:hint="eastAsia" w:ascii="宋体" w:hAnsi="宋体"/>
                <w:color w:val="000000"/>
                <w:sz w:val="24"/>
                <w:highlight w:val="none"/>
              </w:rPr>
            </w:r>
            <w:r/>
          </w:p>
          <w:p>
            <w:pPr>
              <w:pStyle w:val="1023"/>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2、投标（响应）报价低于采购项目最高限价45%的，即投标（响应）报价&lt;采购项目最高限价×45%；</w:t>
            </w:r>
            <w:r>
              <w:rPr>
                <w:rFonts w:hint="eastAsia" w:ascii="宋体" w:hAnsi="宋体"/>
                <w:color w:val="000000"/>
                <w:sz w:val="24"/>
                <w:highlight w:val="none"/>
              </w:rPr>
            </w:r>
            <w:r/>
          </w:p>
          <w:p>
            <w:pPr>
              <w:pStyle w:val="1023"/>
              <w:jc w:val="left"/>
              <w:spacing w:after="0"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3、评审委员会认定的供应商报价过低、有可能影响产品质量或者不能诚信履约的其他情形。</w:t>
            </w:r>
            <w:r>
              <w:rPr>
                <w:rFonts w:hint="eastAsia" w:ascii="宋体" w:hAnsi="宋体"/>
                <w:color w:val="000000"/>
                <w:sz w:val="24"/>
                <w:highlight w:val="none"/>
              </w:rPr>
            </w:r>
            <w:r/>
          </w:p>
          <w:p>
            <w:pPr>
              <w:pStyle w:val="1023"/>
              <w:jc w:val="left"/>
              <w:widowControl/>
              <w:rPr>
                <w:color w:val="000000"/>
                <w:sz w:val="24"/>
                <w:highlight w:val="none"/>
              </w:rPr>
            </w:pPr>
            <w:r>
              <w:rPr>
                <w:rFonts w:hint="eastAsia" w:ascii="宋体" w:hAnsi="宋体"/>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13</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1023"/>
              <w:jc w:val="left"/>
              <w:widowControl/>
              <w:rPr>
                <w:color w:val="000000"/>
                <w:sz w:val="24"/>
                <w:highlight w:val="none"/>
              </w:rPr>
            </w:pPr>
            <w:r>
              <w:rPr>
                <w:color w:val="000000"/>
                <w:sz w:val="24"/>
                <w:highlight w:val="none"/>
              </w:rPr>
              <w:t xml:space="preserve">（如有）</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投标人所投产品为非进口产品；</w:t>
            </w:r>
            <w:r>
              <w:rPr>
                <w:color w:val="000000"/>
                <w:sz w:val="24"/>
                <w:highlight w:val="none"/>
              </w:rPr>
            </w:r>
            <w:r/>
          </w:p>
        </w:tc>
        <w:tc>
          <w:tcPr>
            <w:tcW w:w="1168" w:type="dxa"/>
            <w:vAlign w:val="center"/>
            <w:textDirection w:val="lrTb"/>
            <w:noWrap w:val="false"/>
          </w:tcPr>
          <w:p>
            <w:pPr>
              <w:pStyle w:val="1023"/>
              <w:jc w:val="left"/>
              <w:widowControl/>
              <w:rPr>
                <w:rFonts w:hint="eastAsia" w:ascii="宋体" w:hAnsi="宋体"/>
                <w:color w:val="000000"/>
                <w:sz w:val="24"/>
                <w:highlight w:val="none"/>
              </w:rPr>
            </w:pPr>
            <w:r>
              <w:rPr>
                <w:rFonts w:hint="eastAsia" w:ascii="宋体" w:hAnsi="宋体"/>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14</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国家有关部门对投标人的投标产品有强制性规定或要求的</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国家有关部门对投标人的投标产品有强制性规定或要求的（如相应技术、安全、节能和环保等），投标人的投标产品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1023"/>
              <w:jc w:val="left"/>
              <w:widowControl/>
              <w:rPr>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p>
            <w:pPr>
              <w:pStyle w:val="1023"/>
              <w:jc w:val="left"/>
              <w:widowControl/>
              <w:rPr>
                <w:color w:val="000000"/>
                <w:sz w:val="24"/>
                <w:highlight w:val="none"/>
              </w:rPr>
            </w:pPr>
            <w:r>
              <w:rPr>
                <w:rFonts w:hint="eastAsia"/>
                <w:color w:val="000000"/>
                <w:sz w:val="24"/>
                <w:highlight w:val="none"/>
              </w:rPr>
              <w:t xml:space="preserve">2）</w:t>
            </w:r>
            <w:r>
              <w:rPr>
                <w:color w:val="000000"/>
                <w:sz w:val="24"/>
                <w:highlight w:val="none"/>
              </w:rPr>
              <w:t xml:space="preserve">投标产品如有属于开展国家信息安全产品认证产品范围的，须</w:t>
            </w:r>
            <w:r>
              <w:rPr>
                <w:rFonts w:hint="eastAsia"/>
                <w:color w:val="000000"/>
                <w:sz w:val="24"/>
                <w:highlight w:val="none"/>
              </w:rPr>
              <w:t xml:space="preserve">提供</w:t>
            </w:r>
            <w:r>
              <w:rPr>
                <w:color w:val="000000"/>
                <w:sz w:val="24"/>
                <w:highlight w:val="none"/>
              </w:rPr>
              <w:t xml:space="preserve">由中国网络安全审查技术与认证中心（原中国信息安全认证中心）按国家标准认证颁发的有效认证证书等）；</w:t>
            </w:r>
            <w:r>
              <w:rPr>
                <w:color w:val="000000"/>
                <w:sz w:val="24"/>
                <w:highlight w:val="none"/>
              </w:rPr>
            </w:r>
            <w:r/>
          </w:p>
          <w:p>
            <w:pPr>
              <w:pStyle w:val="1023"/>
              <w:jc w:val="left"/>
              <w:widowControl/>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15</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color w:val="000000"/>
                <w:sz w:val="24"/>
                <w:highlight w:val="none"/>
              </w:rPr>
            </w:pPr>
            <w:r>
              <w:rPr>
                <w:color w:val="000000"/>
                <w:sz w:val="24"/>
                <w:highlight w:val="none"/>
              </w:rPr>
              <w:t xml:space="preserve">16</w:t>
            </w:r>
            <w:r>
              <w:rPr>
                <w:color w:val="000000"/>
                <w:sz w:val="24"/>
                <w:highlight w:val="none"/>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串通投标</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rPr>
                <w:color w:val="000000"/>
                <w:sz w:val="24"/>
                <w:highlight w:val="none"/>
              </w:rPr>
            </w:r>
            <w:r/>
          </w:p>
        </w:tc>
        <w:tc>
          <w:tcPr>
            <w:tcW w:w="1168" w:type="dxa"/>
            <w:vAlign w:val="center"/>
            <w:textDirection w:val="lrTb"/>
            <w:noWrap w:val="false"/>
          </w:tcPr>
          <w:p>
            <w:pPr>
              <w:pStyle w:val="1023"/>
              <w:jc w:val="left"/>
              <w:widowControl/>
              <w:rPr>
                <w:rFonts w:hint="eastAsia"/>
                <w:color w:val="000000"/>
                <w:sz w:val="24"/>
                <w:highlight w:val="none"/>
              </w:rPr>
            </w:pPr>
            <w:r>
              <w:rPr>
                <w:rFonts w:hint="eastAsia"/>
                <w:color w:val="000000"/>
                <w:sz w:val="24"/>
                <w:highlight w:val="none"/>
              </w:rPr>
            </w:r>
            <w:r/>
          </w:p>
        </w:tc>
      </w:tr>
      <w:tr>
        <w:trPr>
          <w:trHeight w:val="685"/>
        </w:trPr>
        <w:tc>
          <w:tcPr>
            <w:tcW w:w="480" w:type="dxa"/>
            <w:vAlign w:val="center"/>
            <w:textDirection w:val="lrTb"/>
            <w:noWrap w:val="false"/>
          </w:tcPr>
          <w:p>
            <w:pPr>
              <w:pStyle w:val="1023"/>
              <w:jc w:val="center"/>
              <w:widowControl/>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17</w:t>
            </w:r>
            <w:r>
              <w:rPr>
                <w:rFonts w:ascii="Times New Roman" w:hAnsi="Times New Roman" w:eastAsia="宋体" w:cs="Times New Roman"/>
                <w:color w:val="000000"/>
                <w:sz w:val="24"/>
                <w:highlight w:val="none"/>
                <w:lang w:val="en-US" w:eastAsia="zh-CN"/>
              </w:rPr>
            </w:r>
            <w:r/>
          </w:p>
        </w:tc>
        <w:tc>
          <w:tcPr>
            <w:tcW w:w="946" w:type="dxa"/>
            <w:vAlign w:val="center"/>
            <w:textDirection w:val="lrTb"/>
            <w:noWrap w:val="false"/>
          </w:tcPr>
          <w:p>
            <w:pPr>
              <w:pStyle w:val="1023"/>
              <w:jc w:val="left"/>
              <w:widowControl/>
              <w:rPr>
                <w:color w:val="000000"/>
                <w:sz w:val="24"/>
                <w:szCs w:val="24"/>
                <w:highlight w:val="none"/>
                <w:lang w:val="en-US" w:eastAsia="zh-CN" w:bidi="ar-SA"/>
              </w:rPr>
            </w:pPr>
            <w:r>
              <w:rPr>
                <w:color w:val="000000"/>
                <w:sz w:val="24"/>
                <w:highlight w:val="none"/>
              </w:rPr>
              <w:t xml:space="preserve">附加条件</w:t>
            </w:r>
            <w:r>
              <w:rPr>
                <w:color w:val="000000"/>
                <w:sz w:val="24"/>
                <w:szCs w:val="24"/>
                <w:highlight w:val="none"/>
                <w:lang w:val="en-US" w:eastAsia="zh-CN" w:bidi="ar-SA"/>
              </w:rPr>
            </w:r>
            <w:r/>
          </w:p>
        </w:tc>
        <w:tc>
          <w:tcPr>
            <w:tcW w:w="2404" w:type="dxa"/>
            <w:vAlign w:val="center"/>
            <w:textDirection w:val="lrTb"/>
            <w:noWrap w:val="false"/>
          </w:tcPr>
          <w:p>
            <w:pPr>
              <w:pStyle w:val="1023"/>
              <w:jc w:val="left"/>
              <w:widowControl/>
              <w:rPr>
                <w:color w:val="000000"/>
                <w:sz w:val="24"/>
                <w:szCs w:val="24"/>
                <w:highlight w:val="none"/>
                <w:lang w:val="en-US" w:eastAsia="zh-CN" w:bidi="ar-SA"/>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szCs w:val="24"/>
                <w:highlight w:val="none"/>
                <w:lang w:val="en-US" w:eastAsia="zh-CN" w:bidi="ar-SA"/>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r>
        <w:trPr>
          <w:trHeight w:val="685"/>
        </w:trPr>
        <w:tc>
          <w:tcPr>
            <w:tcW w:w="480" w:type="dxa"/>
            <w:vAlign w:val="center"/>
            <w:textDirection w:val="lrTb"/>
            <w:noWrap w:val="false"/>
          </w:tcPr>
          <w:p>
            <w:pPr>
              <w:pStyle w:val="1023"/>
              <w:jc w:val="center"/>
              <w:widowControl/>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18</w:t>
            </w:r>
            <w:r>
              <w:rPr>
                <w:rFonts w:hint="eastAsia" w:ascii="Times New Roman" w:hAnsi="Times New Roman" w:eastAsia="宋体" w:cs="Times New Roman"/>
                <w:color w:val="000000"/>
                <w:sz w:val="24"/>
                <w:highlight w:val="none"/>
                <w:lang w:val="en-US" w:eastAsia="zh-CN"/>
              </w:rPr>
            </w:r>
            <w:r/>
          </w:p>
        </w:tc>
        <w:tc>
          <w:tcPr>
            <w:tcW w:w="946" w:type="dxa"/>
            <w:vAlign w:val="center"/>
            <w:textDirection w:val="lrTb"/>
            <w:noWrap w:val="false"/>
          </w:tcPr>
          <w:p>
            <w:pPr>
              <w:pStyle w:val="1023"/>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404" w:type="dxa"/>
            <w:vAlign w:val="center"/>
            <w:textDirection w:val="lrTb"/>
            <w:noWrap w:val="false"/>
          </w:tcPr>
          <w:p>
            <w:pPr>
              <w:pStyle w:val="1023"/>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rPr>
                <w:color w:val="000000"/>
                <w:sz w:val="24"/>
                <w:highlight w:val="none"/>
              </w:rPr>
            </w:r>
            <w:r/>
          </w:p>
        </w:tc>
        <w:tc>
          <w:tcPr>
            <w:tcW w:w="1168" w:type="dxa"/>
            <w:vAlign w:val="center"/>
            <w:textDirection w:val="lrTb"/>
            <w:noWrap w:val="false"/>
          </w:tcPr>
          <w:p>
            <w:pPr>
              <w:pStyle w:val="1023"/>
              <w:jc w:val="left"/>
              <w:widowControl/>
              <w:rPr>
                <w:color w:val="000000"/>
                <w:sz w:val="24"/>
                <w:highlight w:val="none"/>
              </w:rPr>
            </w:pPr>
            <w:r>
              <w:rPr>
                <w:color w:val="000000"/>
                <w:sz w:val="24"/>
                <w:highlight w:val="none"/>
              </w:rPr>
            </w:r>
            <w:r/>
          </w:p>
        </w:tc>
      </w:tr>
    </w:tbl>
    <w:p>
      <w:pPr>
        <w:pStyle w:val="102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二、</w:t>
      </w:r>
      <w:r>
        <w:rPr>
          <w:b/>
          <w:color w:val="000000"/>
          <w:sz w:val="30"/>
          <w:szCs w:val="30"/>
          <w:highlight w:val="none"/>
        </w:rPr>
        <w:t xml:space="preserve">投标文件有关事项的澄清或者说明</w:t>
      </w:r>
      <w:r>
        <w:rPr>
          <w:b/>
          <w:color w:val="000000"/>
          <w:sz w:val="30"/>
          <w:szCs w:val="30"/>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评标过程中，评标委员会将</w:t>
      </w:r>
      <w:r>
        <w:rPr>
          <w:rFonts w:hint="eastAsia"/>
          <w:color w:val="000000"/>
          <w:sz w:val="24"/>
          <w:highlight w:val="none"/>
        </w:rPr>
        <w:t xml:space="preserve">通过苏采云系统</w:t>
      </w:r>
      <w:r>
        <w:rPr>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color w:val="000000"/>
          <w:sz w:val="24"/>
          <w:highlight w:val="none"/>
        </w:rPr>
        <w:t xml:space="preserve">电子</w:t>
      </w:r>
      <w:r>
        <w:rPr>
          <w:color w:val="000000"/>
          <w:sz w:val="24"/>
          <w:highlight w:val="none"/>
        </w:rPr>
        <w:t xml:space="preserve">公章。投标人的澄清、说明或者补正不得超出投标文件的范围或者改变投标文件的实质性内容。澄清文件将作为投标文件内容的一部分。</w:t>
      </w:r>
      <w:r>
        <w:rPr>
          <w:color w:val="000000"/>
          <w:sz w:val="24"/>
          <w:highlight w:val="none"/>
        </w:rPr>
      </w:r>
      <w:r/>
    </w:p>
    <w:p>
      <w:pPr>
        <w:pStyle w:val="1023"/>
        <w:ind w:firstLine="480"/>
        <w:spacing w:line="360" w:lineRule="auto"/>
        <w:tabs>
          <w:tab w:val="left" w:pos="1080" w:leader="none"/>
          <w:tab w:val="left" w:pos="1589" w:leader="none"/>
        </w:tabs>
        <w:rPr>
          <w:rFonts w:hint="eastAsia"/>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000000"/>
          <w:sz w:val="24"/>
          <w:highlight w:val="none"/>
        </w:rPr>
        <w:t xml:space="preserve">规定</w:t>
      </w:r>
      <w:r>
        <w:rPr>
          <w:color w:val="000000"/>
          <w:sz w:val="24"/>
          <w:highlight w:val="none"/>
        </w:rPr>
        <w:t xml:space="preserve">的时间内提供书面说明，必要时提交相关证明材料；若投标人不能证明其报价合理性，评标委员会将其作为</w:t>
      </w:r>
      <w:r>
        <w:rPr>
          <w:b/>
          <w:color w:val="000000"/>
          <w:sz w:val="24"/>
          <w:highlight w:val="none"/>
        </w:rPr>
        <w:t xml:space="preserve">无效投标处理</w:t>
      </w:r>
      <w:r>
        <w:rPr>
          <w:rFonts w:hint="eastAsia"/>
          <w:color w:val="000000"/>
          <w:sz w:val="24"/>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（三）</w:t>
      </w:r>
      <w:r>
        <w:rPr>
          <w:color w:val="000000"/>
          <w:sz w:val="24"/>
          <w:highlight w:val="none"/>
        </w:rPr>
        <w:t xml:space="preserve">投标报价须包含招标文件全部内容，如报价明细表有缺漏视为已含在其他各项报价中，将不对投标总价进行调整。评标委员会有权要求投标人在</w:t>
      </w:r>
      <w:r>
        <w:rPr>
          <w:rFonts w:hint="eastAsia"/>
          <w:color w:val="000000"/>
          <w:sz w:val="24"/>
          <w:highlight w:val="none"/>
        </w:rPr>
        <w:t xml:space="preserve">规定</w:t>
      </w:r>
      <w:r>
        <w:rPr>
          <w:color w:val="000000"/>
          <w:sz w:val="24"/>
          <w:highlight w:val="none"/>
        </w:rPr>
        <w:t xml:space="preserve">的时间内对此进行书面确认，投标人不确认的，视为将一个采购包中的内容拆开投标，其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（四）</w:t>
      </w:r>
      <w:r>
        <w:rPr>
          <w:color w:val="000000"/>
          <w:sz w:val="24"/>
          <w:highlight w:val="none"/>
        </w:rPr>
        <w:t xml:space="preserve">投标文件报价出现前后不一致的，按照</w:t>
      </w:r>
      <w:r>
        <w:rPr>
          <w:rFonts w:hint="eastAsia"/>
          <w:color w:val="000000"/>
          <w:sz w:val="24"/>
          <w:highlight w:val="none"/>
        </w:rPr>
        <w:t xml:space="preserve">第二章2</w:t>
      </w:r>
      <w:r>
        <w:rPr>
          <w:color w:val="000000"/>
          <w:sz w:val="24"/>
          <w:highlight w:val="none"/>
        </w:rPr>
        <w:t xml:space="preserve">6.4</w:t>
      </w:r>
      <w:r>
        <w:rPr>
          <w:rFonts w:hint="eastAsia"/>
          <w:color w:val="000000"/>
          <w:sz w:val="24"/>
          <w:highlight w:val="none"/>
        </w:rPr>
        <w:t xml:space="preserve">之</w:t>
      </w:r>
      <w:r>
        <w:rPr>
          <w:color w:val="000000"/>
          <w:sz w:val="24"/>
          <w:highlight w:val="none"/>
        </w:rPr>
        <w:t xml:space="preserve">规定</w:t>
      </w:r>
      <w:r>
        <w:rPr>
          <w:rFonts w:hint="eastAsia"/>
          <w:color w:val="000000"/>
          <w:sz w:val="24"/>
          <w:highlight w:val="none"/>
        </w:rPr>
        <w:t xml:space="preserve">处理，</w:t>
      </w:r>
      <w:r>
        <w:rPr>
          <w:color w:val="000000"/>
          <w:sz w:val="24"/>
          <w:highlight w:val="none"/>
        </w:rPr>
        <w:t xml:space="preserve">修正后的报价经投标人书面确认后产生约束力，投标人不确认的，其</w:t>
      </w:r>
      <w:r>
        <w:rPr>
          <w:b/>
          <w:color w:val="000000"/>
          <w:sz w:val="24"/>
          <w:highlight w:val="none"/>
        </w:rPr>
        <w:t xml:space="preserve">投标无效</w:t>
      </w:r>
      <w:r>
        <w:rPr>
          <w:color w:val="000000"/>
          <w:sz w:val="24"/>
          <w:highlight w:val="none"/>
        </w:rPr>
        <w:t xml:space="preserve">。</w:t>
      </w:r>
      <w:r>
        <w:rPr>
          <w:color w:val="000000"/>
          <w:sz w:val="24"/>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（五）</w:t>
      </w:r>
      <w:r>
        <w:rPr>
          <w:color w:val="000000"/>
          <w:sz w:val="24"/>
          <w:highlight w:val="none"/>
        </w:rPr>
        <w:t xml:space="preserve">落实政府采购政策的价格调整：</w:t>
      </w:r>
      <w:bookmarkStart w:id="252" w:name="_Hlk149904856"/>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r>
        <w:rPr>
          <w:color w:val="000000"/>
          <w:sz w:val="24"/>
          <w:highlight w:val="none"/>
        </w:rPr>
      </w:r>
      <w:r/>
    </w:p>
    <w:p>
      <w:pPr>
        <w:pStyle w:val="1023"/>
        <w:ind w:firstLine="602"/>
        <w:spacing w:line="360" w:lineRule="auto"/>
        <w:tabs>
          <w:tab w:val="left" w:pos="360" w:leader="none"/>
        </w:tabs>
        <w:rPr>
          <w:b/>
          <w:color w:val="000000"/>
          <w:sz w:val="30"/>
          <w:szCs w:val="30"/>
          <w:highlight w:val="none"/>
        </w:rPr>
        <w:outlineLvl w:val="1"/>
      </w:pPr>
      <w:r/>
      <w:bookmarkEnd w:id="252"/>
      <w:r>
        <w:rPr>
          <w:rFonts w:hint="eastAsia"/>
          <w:b/>
          <w:color w:val="000000"/>
          <w:sz w:val="30"/>
          <w:szCs w:val="30"/>
          <w:highlight w:val="none"/>
        </w:rPr>
        <w:t xml:space="preserve">三、</w:t>
      </w:r>
      <w:r>
        <w:rPr>
          <w:b/>
          <w:color w:val="000000"/>
          <w:sz w:val="30"/>
          <w:szCs w:val="30"/>
          <w:highlight w:val="none"/>
        </w:rPr>
        <w:t xml:space="preserve">投标文件的比较和评价</w:t>
      </w:r>
      <w:r>
        <w:rPr>
          <w:b/>
          <w:color w:val="000000"/>
          <w:sz w:val="30"/>
          <w:szCs w:val="30"/>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sz w:val="24"/>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评标方法和评标标准</w:t>
      </w:r>
      <w:r>
        <w:rPr>
          <w:color w:val="000000"/>
          <w:sz w:val="24"/>
          <w:highlight w:val="none"/>
        </w:rPr>
      </w:r>
      <w:r/>
    </w:p>
    <w:p>
      <w:pPr>
        <w:pStyle w:val="1023"/>
        <w:ind w:firstLine="480"/>
        <w:jc w:val="left"/>
        <w:spacing w:line="360" w:lineRule="auto"/>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rFonts w:hint="eastAsia"/>
          <w:color w:val="000000"/>
          <w:sz w:val="24"/>
          <w:highlight w:val="none"/>
        </w:rPr>
      </w:r>
      <w:r/>
    </w:p>
    <w:p>
      <w:pPr>
        <w:pStyle w:val="102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3" w:name="_Toc151193788"/>
      <w:r/>
      <w:bookmarkStart w:id="254" w:name="_Toc127151546"/>
      <w:r/>
      <w:bookmarkStart w:id="255" w:name="_Toc151193934"/>
      <w:r/>
      <w:bookmarkStart w:id="256" w:name="_Toc226309790"/>
      <w:r/>
      <w:bookmarkStart w:id="257" w:name="_Toc164608660"/>
      <w:r/>
      <w:bookmarkStart w:id="258" w:name="_Toc149720839"/>
      <w:r/>
      <w:bookmarkStart w:id="259" w:name="_Toc164608815"/>
      <w:r/>
      <w:bookmarkStart w:id="260" w:name="_Toc151193860"/>
      <w:r/>
      <w:bookmarkStart w:id="261" w:name="_Toc127151747"/>
      <w:r/>
      <w:bookmarkStart w:id="262" w:name="_Toc226965819"/>
      <w:r/>
      <w:bookmarkStart w:id="263" w:name="_Toc520356170"/>
      <w:r/>
      <w:bookmarkStart w:id="264" w:name="_Toc150774646"/>
      <w:r/>
      <w:bookmarkStart w:id="265" w:name="_Ref467307010"/>
      <w:r/>
      <w:bookmarkStart w:id="266" w:name="_Toc195842911"/>
      <w:r/>
      <w:bookmarkStart w:id="267" w:name="_Toc127161460"/>
      <w:r/>
      <w:bookmarkStart w:id="268" w:name="_Toc164229241"/>
      <w:r/>
      <w:bookmarkStart w:id="269" w:name="_Toc150480784"/>
      <w:r/>
      <w:bookmarkStart w:id="270" w:name="_Toc150509297"/>
      <w:r/>
      <w:bookmarkStart w:id="271" w:name="_Toc164351640"/>
      <w:r/>
      <w:bookmarkStart w:id="272" w:name="_Toc264969236"/>
      <w:r/>
      <w:bookmarkStart w:id="273" w:name="_Toc151190173"/>
      <w:r/>
      <w:bookmarkStart w:id="274" w:name="_Toc265228384"/>
      <w:r/>
      <w:bookmarkStart w:id="275" w:name="_Toc142311048"/>
      <w:r/>
      <w:bookmarkStart w:id="276" w:name="_Toc226337242"/>
      <w:r/>
      <w:bookmarkStart w:id="277" w:name="_Toc305158814"/>
      <w:r/>
      <w:bookmarkStart w:id="278" w:name="_Toc151193716"/>
      <w:r/>
      <w:bookmarkStart w:id="279" w:name="_Toc150774751"/>
      <w:r/>
      <w:bookmarkStart w:id="280" w:name="_Toc151193644"/>
      <w:r/>
      <w:bookmarkStart w:id="281" w:name="_Toc226965736"/>
      <w:r/>
      <w:bookmarkStart w:id="282" w:name="_Toc305158888"/>
      <w:r/>
      <w:bookmarkStart w:id="283" w:name="_Toc164229387"/>
      <w:r>
        <w:rPr>
          <w:b/>
          <w:color w:val="000000"/>
          <w:sz w:val="30"/>
          <w:szCs w:val="30"/>
          <w:highlight w:val="none"/>
        </w:rPr>
        <w:t xml:space="preserve">中标候选人名单</w:t>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b/>
          <w:color w:val="000000"/>
          <w:sz w:val="30"/>
          <w:szCs w:val="30"/>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评标委员会要对评分汇总情况进行复核，特别是对排名第一的、报价最低的、投标或</w:t>
      </w:r>
      <w:r>
        <w:rPr>
          <w:rFonts w:hint="eastAsia"/>
          <w:color w:val="000000"/>
          <w:sz w:val="24"/>
          <w:highlight w:val="none"/>
        </w:rPr>
        <w:t xml:space="preserve">响应</w:t>
      </w:r>
      <w:r>
        <w:rPr>
          <w:color w:val="000000"/>
          <w:sz w:val="24"/>
          <w:highlight w:val="none"/>
        </w:rPr>
        <w:t xml:space="preserve">文件被认定为无效的情形进行重点复核。</w:t>
      </w:r>
      <w:r>
        <w:rPr>
          <w:color w:val="000000"/>
          <w:sz w:val="24"/>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（二）</w:t>
      </w:r>
      <w:r>
        <w:rPr>
          <w:color w:val="000000"/>
          <w:sz w:val="24"/>
          <w:highlight w:val="none"/>
        </w:rPr>
        <w:t xml:space="preserve">评标委员会将根据各投标人的评标排序，依次推荐本项目（</w:t>
      </w:r>
      <w:r>
        <w:rPr>
          <w:rFonts w:hint="eastAsia"/>
          <w:color w:val="000000"/>
          <w:sz w:val="24"/>
          <w:highlight w:val="none"/>
        </w:rPr>
        <w:t xml:space="preserve">各</w:t>
      </w:r>
      <w:r>
        <w:rPr>
          <w:color w:val="000000"/>
          <w:sz w:val="24"/>
          <w:highlight w:val="none"/>
        </w:rPr>
        <w:t xml:space="preserve">采购包）的中标候选人，起草并签署评标报告。本项目（</w:t>
      </w:r>
      <w:r>
        <w:rPr>
          <w:rFonts w:hint="eastAsia"/>
          <w:color w:val="000000"/>
          <w:sz w:val="24"/>
          <w:highlight w:val="none"/>
        </w:rPr>
        <w:t xml:space="preserve">各标段或</w:t>
      </w:r>
      <w:r>
        <w:rPr>
          <w:color w:val="000000"/>
          <w:sz w:val="24"/>
          <w:highlight w:val="none"/>
        </w:rPr>
        <w:t xml:space="preserve">采购包）评标委员会共（各）推荐</w:t>
      </w:r>
      <w:r>
        <w:rPr>
          <w:rFonts w:hint="eastAsia"/>
          <w:color w:val="000000"/>
          <w:sz w:val="24"/>
          <w:highlight w:val="none"/>
        </w:rPr>
        <w:t xml:space="preserve">不少于3</w:t>
      </w:r>
      <w:r>
        <w:rPr>
          <w:color w:val="000000"/>
          <w:sz w:val="24"/>
          <w:highlight w:val="none"/>
        </w:rPr>
        <w:t xml:space="preserve">名中标候选人。</w:t>
      </w:r>
      <w:r>
        <w:rPr>
          <w:color w:val="000000"/>
          <w:sz w:val="24"/>
          <w:highlight w:val="none"/>
        </w:rPr>
      </w:r>
      <w:r/>
    </w:p>
    <w:p>
      <w:pPr>
        <w:pStyle w:val="1023"/>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1023"/>
        <w:ind w:firstLine="480"/>
        <w:spacing w:line="360" w:lineRule="auto"/>
        <w:tabs>
          <w:tab w:val="left" w:pos="1080" w:leader="none"/>
          <w:tab w:val="left" w:pos="1589" w:leader="none"/>
        </w:tabs>
        <w:rPr>
          <w:color w:val="000000"/>
          <w:sz w:val="24"/>
          <w:highlight w:val="none"/>
        </w:rPr>
      </w:pPr>
      <w:r>
        <w:rPr>
          <w:rFonts w:ascii="Symbol" w:hAnsi="Symbol" w:cs="Symbol"/>
          <w:color w:val="000000"/>
          <w:sz w:val="24"/>
          <w:highlight w:val="none"/>
        </w:rPr>
        <w:t xml:space="preserve">（一）</w:t>
      </w:r>
      <w:r>
        <w:rPr>
          <w:color w:val="000000"/>
          <w:sz w:val="24"/>
          <w:highlight w:val="none"/>
        </w:rPr>
        <w:t xml:space="preserve">评标委员会在评标过程中发现投标人有行贿、提供虚假材料或者串通等违法行为时，有向采购人、采购代理机构或者有关部门报告的职责。</w:t>
      </w:r>
      <w:r>
        <w:rPr>
          <w:color w:val="000000"/>
          <w:sz w:val="24"/>
          <w:highlight w:val="none"/>
        </w:rPr>
      </w:r>
      <w:r/>
    </w:p>
    <w:p>
      <w:pPr>
        <w:pStyle w:val="1023"/>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1023"/>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rPr>
          <w:color w:val="000000"/>
          <w:sz w:val="24"/>
          <w:highlight w:val="none"/>
        </w:rPr>
      </w:r>
      <w:r/>
    </w:p>
    <w:p>
      <w:pPr>
        <w:pStyle w:val="1023"/>
        <w:ind w:firstLine="480"/>
        <w:spacing w:line="360" w:lineRule="auto"/>
        <w:tabs>
          <w:tab w:val="left" w:pos="360" w:leader="none"/>
        </w:tabs>
        <w:rPr>
          <w:rFonts w:hint="eastAsia"/>
          <w:color w:val="000000"/>
          <w:sz w:val="24"/>
          <w:highlight w:val="none"/>
        </w:rPr>
        <w:outlineLvl w:val="1"/>
      </w:pPr>
      <w:r>
        <w:rPr>
          <w:rFonts w:hint="eastAsia"/>
          <w:color w:val="000000"/>
          <w:sz w:val="24"/>
          <w:highlight w:val="none"/>
        </w:rPr>
        <w:t xml:space="preserve">二、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则由采购人代表现场对上述单位进行随机抽签,抽到的供应商即确定为中标单位。</w:t>
      </w:r>
      <w:r>
        <w:rPr>
          <w:rFonts w:hint="eastAsia"/>
          <w:color w:val="000000"/>
          <w:sz w:val="24"/>
          <w:highlight w:val="none"/>
        </w:rPr>
      </w:r>
      <w:r/>
    </w:p>
    <w:p>
      <w:pPr>
        <w:pStyle w:val="1023"/>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三、每部分的得分保留小数点后两位，合计得分保留小数点后两位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w:t>
      </w:r>
      <w:r>
        <w:rPr>
          <w:color w:val="000000"/>
          <w:sz w:val="24"/>
          <w:highlight w:val="none"/>
        </w:rPr>
      </w:r>
      <w:r/>
    </w:p>
    <w:p>
      <w:pPr>
        <w:pStyle w:val="1023"/>
        <w:ind w:firstLine="441"/>
        <w:jc w:val="left"/>
        <w:spacing w:line="360" w:lineRule="auto"/>
        <w:rPr>
          <w:rFonts w:hint="eastAsia" w:ascii="宋体" w:hAnsi="宋体"/>
          <w:b/>
          <w:color w:val="000000"/>
          <w:sz w:val="24"/>
          <w:highlight w:val="none"/>
        </w:rPr>
      </w:pPr>
      <w:r/>
      <w:bookmarkStart w:id="284" w:name="_Hlk149904248"/>
      <w:r>
        <w:rPr>
          <w:rFonts w:hint="eastAsia" w:ascii="宋体" w:hAnsi="宋体"/>
          <w:b/>
          <w:color w:val="000000"/>
          <w:sz w:val="24"/>
          <w:highlight w:val="none"/>
        </w:rPr>
        <w:t xml:space="preserve">四、政府采购政策功能落实</w:t>
      </w:r>
      <w:r>
        <w:rPr>
          <w:rFonts w:hint="eastAsia" w:ascii="宋体" w:hAnsi="宋体"/>
          <w:b/>
          <w:color w:val="000000"/>
          <w:sz w:val="24"/>
          <w:highlight w:val="none"/>
        </w:rPr>
      </w:r>
      <w:r/>
    </w:p>
    <w:p>
      <w:pPr>
        <w:pStyle w:val="1023"/>
        <w:ind w:firstLine="480"/>
        <w:jc w:val="left"/>
        <w:spacing w:line="360" w:lineRule="auto"/>
        <w:rPr>
          <w:rFonts w:hint="eastAsia" w:ascii="宋体" w:hAnsi="宋体"/>
          <w:color w:val="000000"/>
          <w:sz w:val="24"/>
          <w:highlight w:val="none"/>
        </w:rPr>
      </w:pPr>
      <w:r/>
      <w:bookmarkEnd w:id="284"/>
      <w:r>
        <w:rPr>
          <w:rFonts w:hint="eastAsia" w:ascii="宋体" w:hAnsi="宋体"/>
          <w:color w:val="000000"/>
          <w:sz w:val="24"/>
          <w:highlight w:val="none"/>
        </w:rPr>
        <w:t xml:space="preserve">1、小微型企业价格扣除</w:t>
      </w:r>
      <w:r>
        <w:rPr>
          <w:rFonts w:hint="eastAsia" w:ascii="宋体" w:hAnsi="宋体"/>
          <w:color w:val="000000"/>
          <w:sz w:val="24"/>
          <w:highlight w:val="none"/>
        </w:rPr>
      </w:r>
      <w:r/>
    </w:p>
    <w:p>
      <w:pPr>
        <w:pStyle w:val="1023"/>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rPr>
          <w:rFonts w:hint="eastAsia" w:ascii="宋体" w:hAnsi="宋体"/>
          <w:color w:val="000000"/>
          <w:sz w:val="24"/>
          <w:highlight w:val="none"/>
        </w:rPr>
      </w:r>
      <w:r/>
    </w:p>
    <w:p>
      <w:pPr>
        <w:pStyle w:val="1023"/>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rPr>
          <w:rFonts w:hint="eastAsia" w:ascii="宋体" w:hAnsi="宋体"/>
          <w:color w:val="000000"/>
          <w:sz w:val="24"/>
          <w:highlight w:val="none"/>
        </w:rPr>
      </w:r>
      <w:r/>
    </w:p>
    <w:p>
      <w:pPr>
        <w:pStyle w:val="1023"/>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rPr>
          <w:rFonts w:hint="eastAsia" w:ascii="宋体" w:hAnsi="宋体"/>
          <w:color w:val="000000"/>
          <w:sz w:val="24"/>
          <w:highlight w:val="none"/>
        </w:rPr>
      </w:r>
      <w:r/>
    </w:p>
    <w:p>
      <w:pPr>
        <w:pStyle w:val="1023"/>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rPr>
          <w:rFonts w:hint="eastAsia" w:ascii="宋体" w:hAnsi="宋体"/>
          <w:color w:val="000000"/>
          <w:sz w:val="24"/>
          <w:highlight w:val="none"/>
        </w:rPr>
      </w:r>
      <w:r/>
    </w:p>
    <w:p>
      <w:pPr>
        <w:pStyle w:val="1023"/>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highlight w:val="none"/>
        </w:rPr>
        <w:t xml:space="preserve">供应商如不提供上述证明文件，价格将不做相应扣除</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rPr>
          <w:rFonts w:hint="eastAsia" w:ascii="宋体" w:hAnsi="宋体"/>
          <w:color w:val="000000"/>
          <w:sz w:val="24"/>
          <w:highlight w:val="none"/>
        </w:rPr>
      </w:r>
      <w:r/>
    </w:p>
    <w:p>
      <w:pPr>
        <w:pStyle w:val="1023"/>
        <w:ind w:firstLine="480"/>
        <w:jc w:val="left"/>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lang w:val="en-US" w:eastAsia="zh-CN"/>
        </w:rPr>
        <w:t xml:space="preserve">   4</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的价格扣除，用扣除后的价格参与评审。</w:t>
      </w:r>
      <w:r>
        <w:rPr>
          <w:rFonts w:hint="eastAsia" w:ascii="华文新魏" w:hAnsi="宋体" w:eastAsia="华文新魏"/>
          <w:color w:val="000000"/>
          <w:sz w:val="36"/>
          <w:szCs w:val="36"/>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u w:val="single"/>
          <w:lang w:val="en-US" w:eastAsia="zh-CN"/>
        </w:rPr>
        <w:t xml:space="preserve">  2</w:t>
      </w:r>
      <w:r>
        <w:rPr>
          <w:rFonts w:hint="eastAsia" w:ascii="宋体" w:hAnsi="宋体"/>
          <w:color w:val="000000"/>
          <w:sz w:val="24"/>
          <w:highlight w:val="none"/>
          <w:u w:val="single"/>
        </w:rPr>
        <w:t xml:space="preserve">0%</w:t>
      </w:r>
      <w:r>
        <w:rPr>
          <w:rFonts w:hint="eastAsia" w:ascii="宋体" w:hAnsi="宋体"/>
          <w:color w:val="000000"/>
          <w:sz w:val="24"/>
          <w:highlight w:val="none"/>
          <w:u w:val="single"/>
          <w:lang w:val="en-US" w:eastAsia="zh-CN"/>
        </w:rPr>
        <w:t xml:space="preserve">  </w:t>
      </w:r>
      <w:r>
        <w:rPr>
          <w:rFonts w:hint="eastAsia" w:ascii="宋体" w:hAnsi="宋体"/>
          <w:color w:val="000000"/>
          <w:sz w:val="24"/>
          <w:highlight w:val="none"/>
        </w:rPr>
        <w:t xml:space="preserve">价格扣除，用扣除后的价格参与评审。</w:t>
      </w:r>
      <w:r>
        <w:rPr>
          <w:rFonts w:hint="eastAsia" w:ascii="宋体" w:hAnsi="宋体"/>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政府采购中实施本国产品标准及相关政策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7.1、</w:t>
      </w:r>
      <w:r>
        <w:rPr>
          <w:rFonts w:hint="eastAsia" w:ascii="宋体" w:hAnsi="宋体" w:eastAsia="宋体" w:cs="Times New Roman"/>
          <w:color w:val="000000"/>
          <w:sz w:val="24"/>
          <w:highlight w:val="none"/>
        </w:rPr>
        <w:t xml:space="preserve">当采购项目中既有本国产品又有非本国产品参与竞争的，供应商为该采购项目提供的符合本国产品标准的产品成本之和占该供应商提供的全部产品成本之和的比例达到80%以上时</w:t>
      </w:r>
      <w:r>
        <w:rPr>
          <w:rFonts w:hint="eastAsia" w:ascii="宋体" w:hAnsi="宋体" w:eastAsia="宋体" w:cs="Times New Roman"/>
          <w:b/>
          <w:bCs/>
          <w:color w:val="000000"/>
          <w:sz w:val="24"/>
          <w:highlight w:val="none"/>
        </w:rPr>
        <w:t xml:space="preserve">（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b/>
          <w:bCs/>
          <w:color w:val="000000"/>
          <w:sz w:val="24"/>
          <w:highlight w:val="none"/>
        </w:rPr>
        <w:t xml:space="preserve">属性改变是指经过制造、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w:t>
      </w:r>
      <w:r>
        <w:rPr>
          <w:rFonts w:hint="eastAsia" w:ascii="宋体" w:hAnsi="宋体" w:eastAsia="宋体" w:cs="Times New Roman"/>
          <w:b/>
          <w:bCs/>
          <w:color w:val="000000"/>
          <w:sz w:val="24"/>
          <w:highlight w:val="none"/>
          <w:lang w:eastAsia="zh-CN"/>
        </w:rPr>
        <w:t xml:space="preserve">）</w:t>
      </w:r>
      <w:r>
        <w:rPr>
          <w:rFonts w:hint="eastAsia" w:ascii="宋体" w:hAnsi="宋体" w:eastAsia="宋体" w:cs="Times New Roman"/>
          <w:color w:val="000000"/>
          <w:sz w:val="24"/>
          <w:highlight w:val="none"/>
        </w:rPr>
        <w:t xml:space="preserve">，依法对该供应商提供的全部产品的总报价给予20%的价格扣除，用扣除后的价格参与评审。供应商未填写比例数值，或比例数值未达到80%的，将不享受本国产品价格评审优惠。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7.2、</w:t>
      </w:r>
      <w:r>
        <w:rPr>
          <w:rFonts w:hint="eastAsia" w:ascii="宋体" w:hAnsi="宋体" w:eastAsia="宋体" w:cs="Times New Roman"/>
          <w:color w:val="000000"/>
          <w:sz w:val="24"/>
          <w:highlight w:val="none"/>
        </w:rPr>
        <w:t xml:space="preserve">供应商需按照招标文件的要求提供《关于符合本国产品标准的声明函》（以下简称《声明函》），如不提供将不享受本国产品价格评审优惠。</w:t>
      </w: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7.3、</w:t>
      </w:r>
      <w:r>
        <w:rPr>
          <w:rFonts w:hint="eastAsia" w:ascii="宋体" w:hAnsi="宋体" w:eastAsia="宋体" w:cs="Times New Roman"/>
          <w:color w:val="000000"/>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7.4、</w:t>
      </w:r>
      <w:r>
        <w:rPr>
          <w:rFonts w:hint="eastAsia" w:ascii="宋体" w:hAnsi="宋体" w:eastAsia="宋体" w:cs="Times New Roman"/>
          <w:color w:val="000000"/>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103"/>
        <w:ind w:firstLine="2891"/>
        <w:spacing w:after="120"/>
        <w:rPr>
          <w:rFonts w:hint="eastAsia" w:ascii="宋体" w:hAnsi="宋体"/>
          <w:color w:val="000000"/>
          <w:sz w:val="24"/>
          <w:highlight w:val="none"/>
        </w:rPr>
      </w:pPr>
      <w:r>
        <w:rPr>
          <w:rFonts w:hint="eastAsia" w:ascii="宋体" w:hAnsi="宋体" w:cs="Times New Roman"/>
          <w:b/>
          <w:bCs/>
          <w:color w:val="000000"/>
          <w:sz w:val="32"/>
          <w:szCs w:val="32"/>
          <w:highlight w:val="none"/>
        </w:rPr>
        <w:br w:type="page" w:clear="all"/>
      </w:r>
      <w:r>
        <w:rPr>
          <w:rFonts w:hint="eastAsia" w:ascii="宋体" w:hAnsi="宋体" w:cs="Times New Roman"/>
          <w:b/>
          <w:bCs/>
          <w:color w:val="000000"/>
          <w:sz w:val="32"/>
          <w:szCs w:val="32"/>
          <w:highlight w:val="none"/>
        </w:rPr>
        <w:t xml:space="preserve">第四节 评标标准</w:t>
      </w:r>
      <w:r>
        <w:rPr>
          <w:rFonts w:hint="eastAsia" w:ascii="宋体" w:hAnsi="宋体"/>
          <w:color w:val="000000"/>
          <w:sz w:val="24"/>
          <w:highlight w:val="none"/>
        </w:rPr>
      </w:r>
      <w:r/>
    </w:p>
    <w:tbl>
      <w:tblPr>
        <w:tblW w:w="5599" w:type="pct"/>
        <w:jc w:val="center"/>
        <w:tblInd w:w="-7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13"/>
        <w:gridCol w:w="5460"/>
        <w:gridCol w:w="695"/>
        <w:gridCol w:w="3432"/>
      </w:tblGrid>
      <w:tr>
        <w:trPr>
          <w:trHeight w:val="973"/>
        </w:trPr>
        <w:tc>
          <w:tcPr>
            <w:tcMar>
              <w:left w:w="108" w:type="dxa"/>
              <w:top w:w="0" w:type="dxa"/>
              <w:right w:w="108" w:type="dxa"/>
              <w:bottom w:w="0" w:type="dxa"/>
            </w:tcMar>
            <w:tcW w:w="391" w:type="dxa"/>
            <w:vAlign w:val="center"/>
            <w:textDirection w:val="lrTb"/>
            <w:noWrap w:val="false"/>
          </w:tcPr>
          <w:p>
            <w:pPr>
              <w:pStyle w:val="1023"/>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评分因素</w:t>
            </w:r>
            <w:r>
              <w:rPr>
                <w:rFonts w:hint="eastAsia" w:ascii="宋体" w:hAnsi="宋体" w:cs="宋体"/>
                <w:bCs/>
                <w:color w:val="000000"/>
                <w:sz w:val="24"/>
                <w:highlight w:val="none"/>
              </w:rPr>
            </w:r>
            <w:r/>
          </w:p>
        </w:tc>
        <w:tc>
          <w:tcPr>
            <w:tcMar>
              <w:left w:w="108" w:type="dxa"/>
              <w:top w:w="0" w:type="dxa"/>
              <w:right w:w="108" w:type="dxa"/>
              <w:bottom w:w="0" w:type="dxa"/>
            </w:tcMar>
            <w:tcW w:w="2625" w:type="dxa"/>
            <w:vAlign w:val="center"/>
            <w:textDirection w:val="lrTb"/>
            <w:noWrap w:val="false"/>
          </w:tcPr>
          <w:p>
            <w:pPr>
              <w:pStyle w:val="1023"/>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评分标准</w:t>
            </w:r>
            <w:r>
              <w:rPr>
                <w:rFonts w:hint="eastAsia" w:ascii="宋体" w:hAnsi="宋体" w:cs="宋体"/>
                <w:bCs/>
                <w:color w:val="000000"/>
                <w:sz w:val="24"/>
                <w:highlight w:val="none"/>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分值</w:t>
            </w:r>
            <w:r>
              <w:rPr>
                <w:rFonts w:hint="eastAsia" w:ascii="宋体" w:hAnsi="宋体" w:cs="宋体"/>
                <w:bCs/>
                <w:color w:val="000000"/>
                <w:sz w:val="24"/>
                <w:highlight w:val="none"/>
              </w:rPr>
            </w:r>
            <w:r/>
          </w:p>
        </w:tc>
        <w:tc>
          <w:tcPr>
            <w:tcMar>
              <w:left w:w="108" w:type="dxa"/>
              <w:top w:w="0" w:type="dxa"/>
              <w:right w:w="108" w:type="dxa"/>
              <w:bottom w:w="0" w:type="dxa"/>
            </w:tcMar>
            <w:tcW w:w="1649" w:type="dxa"/>
            <w:vAlign w:val="center"/>
            <w:textDirection w:val="lrTb"/>
            <w:noWrap w:val="false"/>
          </w:tcPr>
          <w:p>
            <w:pPr>
              <w:pStyle w:val="1023"/>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评审材料</w:t>
            </w:r>
            <w:r>
              <w:rPr>
                <w:rFonts w:hint="eastAsia" w:ascii="宋体" w:hAnsi="宋体" w:cs="宋体"/>
                <w:bCs/>
                <w:color w:val="000000"/>
                <w:sz w:val="24"/>
                <w:highlight w:val="none"/>
              </w:rPr>
            </w:r>
            <w:r/>
          </w:p>
        </w:tc>
      </w:tr>
      <w:tr>
        <w:trPr>
          <w:trHeight w:val="963"/>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 w:val="24"/>
                <w:highlight w:val="none"/>
              </w:rPr>
            </w:pPr>
            <w:r>
              <w:rPr>
                <w:rFonts w:hint="eastAsia" w:ascii="宋体" w:hAnsi="宋体" w:cs="宋体"/>
                <w:bCs/>
                <w:color w:val="000000"/>
                <w:szCs w:val="21"/>
                <w:highlight w:val="none"/>
              </w:rPr>
              <w:t xml:space="preserve">1.1</w:t>
            </w:r>
            <w:r>
              <w:rPr>
                <w:rFonts w:hint="eastAsia" w:ascii="宋体" w:hAnsi="宋体" w:cs="宋体"/>
                <w:bCs/>
                <w:color w:val="000000"/>
                <w:sz w:val="24"/>
                <w:highlight w:val="none"/>
              </w:rPr>
            </w:r>
            <w:r/>
          </w:p>
        </w:tc>
        <w:tc>
          <w:tcPr>
            <w:tcMar>
              <w:left w:w="108" w:type="dxa"/>
              <w:top w:w="0" w:type="dxa"/>
              <w:right w:w="108" w:type="dxa"/>
              <w:bottom w:w="0" w:type="dxa"/>
            </w:tcMar>
            <w:tcW w:w="2625" w:type="dxa"/>
            <w:vAlign w:val="center"/>
            <w:textDirection w:val="lrTb"/>
            <w:noWrap w:val="false"/>
          </w:tcPr>
          <w:p>
            <w:pPr>
              <w:pStyle w:val="1023"/>
              <w:jc w:val="left"/>
              <w:widowControl/>
              <w:rPr>
                <w:rFonts w:hint="eastAsia" w:ascii="宋体" w:hAnsi="宋体" w:cs="宋体"/>
                <w:color w:val="000000"/>
                <w:szCs w:val="21"/>
                <w:highlight w:val="none"/>
              </w:rPr>
            </w:pPr>
            <w:r>
              <w:rPr>
                <w:rFonts w:ascii="宋体" w:hAnsi="宋体"/>
                <w:bCs/>
                <w:color w:val="000000"/>
                <w:szCs w:val="21"/>
                <w:highlight w:val="none"/>
              </w:rPr>
              <w:t xml:space="preserve">采用低价优先法计算，即满足招标文件要求且最低的投标报价为评标基准价，其价格分为满分。其他报价得分= (评标基准价/投标报价)×</w:t>
            </w:r>
            <w:r>
              <w:rPr>
                <w:rFonts w:hint="eastAsia" w:ascii="宋体" w:hAnsi="宋体"/>
                <w:bCs/>
                <w:color w:val="000000"/>
                <w:szCs w:val="21"/>
                <w:highlight w:val="none"/>
                <w:lang w:val="en-US" w:eastAsia="zh-CN"/>
              </w:rPr>
              <w:t xml:space="preserve">15分</w:t>
            </w:r>
            <w:r>
              <w:rPr>
                <w:rFonts w:ascii="宋体" w:hAnsi="宋体"/>
                <w:bCs/>
                <w:color w:val="000000"/>
                <w:szCs w:val="21"/>
                <w:highlight w:val="none"/>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ascii="宋体" w:hAnsi="宋体" w:eastAsia="宋体" w:cs="宋体"/>
                <w:color w:val="000000"/>
                <w:szCs w:val="21"/>
                <w:highlight w:val="none"/>
                <w:lang w:val="en-US" w:eastAsia="zh-CN"/>
              </w:rPr>
            </w:pPr>
            <w:r>
              <w:rPr>
                <w:rFonts w:hint="eastAsia" w:ascii="宋体" w:hAnsi="宋体" w:cs="宋体"/>
                <w:bCs/>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此处最终报价指经过报价修正，及因落实政府采购政策进行价格调整后的最终报价。</w:t>
            </w:r>
            <w:r>
              <w:rPr>
                <w:rFonts w:hint="eastAsia" w:ascii="宋体" w:hAnsi="宋体" w:cs="宋体"/>
                <w:color w:val="000000"/>
                <w:szCs w:val="21"/>
                <w:highlight w:val="none"/>
              </w:rPr>
            </w:r>
            <w:r/>
          </w:p>
        </w:tc>
      </w:tr>
      <w:tr>
        <w:trPr>
          <w:trHeight w:val="905"/>
        </w:trPr>
        <w:tc>
          <w:tcPr>
            <w:gridSpan w:val="2"/>
            <w:tcMar>
              <w:left w:w="108" w:type="dxa"/>
              <w:top w:w="0" w:type="dxa"/>
              <w:right w:w="108" w:type="dxa"/>
              <w:bottom w:w="0" w:type="dxa"/>
            </w:tcMar>
            <w:tcW w:w="6273" w:type="dxa"/>
            <w:vAlign w:val="center"/>
            <w:textDirection w:val="lrTb"/>
            <w:noWrap w:val="false"/>
          </w:tcPr>
          <w:p>
            <w:pPr>
              <w:pStyle w:val="1023"/>
              <w:jc w:val="left"/>
              <w:widowControl/>
              <w:rPr>
                <w:rFonts w:hint="eastAsia" w:ascii="宋体" w:hAnsi="宋体" w:cs="宋体"/>
                <w:b/>
                <w:color w:val="000000"/>
                <w:sz w:val="18"/>
                <w:szCs w:val="18"/>
                <w:highlight w:val="none"/>
                <w:lang w:val="zh-CN"/>
              </w:rPr>
            </w:pPr>
            <w:r>
              <w:rPr>
                <w:rFonts w:hint="eastAsia" w:ascii="宋体" w:hAnsi="宋体" w:cs="宋体"/>
                <w:b/>
                <w:color w:val="000000"/>
                <w:szCs w:val="21"/>
                <w:highlight w:val="none"/>
              </w:rPr>
              <w:t xml:space="preserve">主观分（</w:t>
            </w:r>
            <w:r>
              <w:rPr>
                <w:rFonts w:hint="eastAsia" w:ascii="宋体" w:hAnsi="宋体" w:cs="宋体"/>
                <w:b/>
                <w:color w:val="000000"/>
                <w:szCs w:val="21"/>
                <w:highlight w:val="none"/>
                <w:lang w:val="en-US" w:eastAsia="zh-CN"/>
              </w:rPr>
              <w:t xml:space="preserve">35</w:t>
            </w:r>
            <w:r>
              <w:rPr>
                <w:rFonts w:hint="eastAsia" w:ascii="宋体" w:hAnsi="宋体" w:cs="宋体"/>
                <w:b/>
                <w:color w:val="000000"/>
                <w:szCs w:val="21"/>
                <w:highlight w:val="none"/>
              </w:rPr>
              <w:t xml:space="preserve">分）  </w:t>
            </w:r>
            <w:r>
              <w:rPr>
                <w:rFonts w:hint="eastAsia" w:ascii="宋体" w:hAnsi="宋体" w:cs="宋体"/>
                <w:b/>
                <w:color w:val="000000"/>
                <w:sz w:val="18"/>
                <w:szCs w:val="18"/>
                <w:highlight w:val="none"/>
                <w:lang w:val="zh-CN"/>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hint="eastAsia" w:ascii="宋体" w:hAnsi="宋体" w:cs="宋体"/>
                <w:bCs/>
                <w:color w:val="000000"/>
                <w:sz w:val="18"/>
                <w:szCs w:val="18"/>
                <w:highlight w:val="none"/>
              </w:rPr>
            </w:pPr>
            <w:r>
              <w:rPr>
                <w:rFonts w:hint="eastAsia" w:ascii="宋体" w:hAnsi="宋体" w:cs="宋体"/>
                <w:bCs/>
                <w:color w:val="000000"/>
                <w:sz w:val="18"/>
                <w:szCs w:val="18"/>
                <w:highlight w:val="none"/>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bCs/>
                <w:color w:val="000000"/>
                <w:sz w:val="18"/>
                <w:szCs w:val="18"/>
                <w:highlight w:val="none"/>
              </w:rPr>
            </w:pPr>
            <w:r>
              <w:rPr>
                <w:rFonts w:hint="eastAsia"/>
                <w:b/>
                <w:color w:val="000000"/>
                <w:sz w:val="20"/>
                <w:szCs w:val="20"/>
                <w:highlight w:val="none"/>
              </w:rPr>
              <w:t xml:space="preserve">注：主观分总页数≤</w:t>
            </w:r>
            <w:r>
              <w:rPr>
                <w:rFonts w:hint="eastAsia"/>
                <w:b/>
                <w:color w:val="000000"/>
                <w:sz w:val="20"/>
                <w:szCs w:val="20"/>
                <w:highlight w:val="none"/>
                <w:lang w:val="en-US" w:eastAsia="zh-CN"/>
              </w:rPr>
              <w:t xml:space="preserve">200</w:t>
            </w:r>
            <w:r>
              <w:rPr>
                <w:rFonts w:hint="eastAsia"/>
                <w:b/>
                <w:color w:val="000000"/>
                <w:sz w:val="20"/>
                <w:szCs w:val="20"/>
                <w:highlight w:val="none"/>
              </w:rPr>
              <w:t xml:space="preserve">页，每超过一页的，其主观分总得分扣0.1分，以此类推。</w:t>
            </w:r>
            <w:r>
              <w:rPr>
                <w:rFonts w:hint="eastAsia" w:ascii="宋体" w:hAnsi="宋体" w:cs="宋体"/>
                <w:bCs/>
                <w:color w:val="000000"/>
                <w:sz w:val="18"/>
                <w:szCs w:val="18"/>
                <w:highlight w:val="none"/>
              </w:rPr>
            </w:r>
            <w:r/>
          </w:p>
        </w:tc>
      </w:tr>
      <w:tr>
        <w:trPr>
          <w:trHeight w:val="1550"/>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2.1</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hint="eastAsia"/>
                <w:color w:val="000000"/>
                <w:szCs w:val="21"/>
                <w:highlight w:val="none"/>
                <w:lang w:val="zh-CN" w:eastAsia="zh-CN"/>
              </w:rPr>
            </w:pPr>
            <w:r>
              <w:rPr>
                <w:rFonts w:hint="eastAsia" w:ascii="宋体" w:hAnsi="宋体" w:cs="宋体"/>
                <w:b/>
                <w:bCs/>
                <w:color w:val="000000"/>
                <w:szCs w:val="21"/>
                <w:highlight w:val="none"/>
              </w:rPr>
              <w:t xml:space="preserve">维保措施：</w:t>
            </w:r>
            <w:r>
              <w:rPr>
                <w:rFonts w:hint="eastAsia" w:ascii="宋体" w:hAnsi="宋体" w:cs="宋体"/>
                <w:bCs/>
                <w:color w:val="000000"/>
                <w:szCs w:val="21"/>
                <w:highlight w:val="none"/>
              </w:rPr>
              <w:t xml:space="preserve">针对本项目内容养护服务要求，提供主要维护和维修保证措施（市政道路、桥梁、管道、路灯、景观照明等）等方案。方案专业、详细、可行</w:t>
            </w:r>
            <w:r>
              <w:rPr>
                <w:rFonts w:hint="eastAsia" w:cs="宋体"/>
                <w:bCs/>
                <w:color w:val="000000"/>
                <w:szCs w:val="21"/>
                <w:highlight w:val="none"/>
                <w:lang w:eastAsia="zh-CN"/>
              </w:rPr>
              <w:t xml:space="preserve">的</w:t>
            </w:r>
            <w:r>
              <w:rPr>
                <w:rFonts w:hint="eastAsia" w:ascii="宋体" w:hAnsi="宋体" w:cs="宋体"/>
                <w:bCs/>
                <w:color w:val="000000"/>
                <w:szCs w:val="21"/>
                <w:highlight w:val="none"/>
              </w:rPr>
              <w:t xml:space="preserve">得</w:t>
            </w:r>
            <w:r>
              <w:rPr>
                <w:rFonts w:hint="eastAsia" w:cs="宋体"/>
                <w:bCs/>
                <w:color w:val="000000"/>
                <w:szCs w:val="21"/>
                <w:highlight w:val="none"/>
                <w:lang w:val="en-US" w:eastAsia="zh-CN"/>
              </w:rPr>
              <w:t xml:space="preserve">5</w:t>
            </w:r>
            <w:r>
              <w:rPr>
                <w:rFonts w:hint="eastAsia" w:ascii="宋体" w:hAnsi="宋体" w:cs="宋体"/>
                <w:bCs/>
                <w:color w:val="000000"/>
                <w:szCs w:val="21"/>
                <w:highlight w:val="none"/>
              </w:rPr>
              <w:t xml:space="preserve">分；方案较为专业、详细、可行</w:t>
            </w:r>
            <w:r>
              <w:rPr>
                <w:rFonts w:hint="eastAsia" w:cs="宋体"/>
                <w:bCs/>
                <w:color w:val="000000"/>
                <w:szCs w:val="21"/>
                <w:highlight w:val="none"/>
                <w:lang w:eastAsia="zh-CN"/>
              </w:rPr>
              <w:t xml:space="preserve">的</w:t>
            </w:r>
            <w:r>
              <w:rPr>
                <w:rFonts w:hint="eastAsia" w:ascii="宋体" w:hAnsi="宋体" w:cs="宋体"/>
                <w:bCs/>
                <w:color w:val="000000"/>
                <w:szCs w:val="21"/>
                <w:highlight w:val="none"/>
              </w:rPr>
              <w:t xml:space="preserve">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分；方案一般的得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hint="eastAsia"/>
                <w:color w:val="000000"/>
                <w:szCs w:val="21"/>
                <w:highlight w:val="none"/>
                <w:lang w:val="zh-CN" w:eastAsia="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549"/>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2.2</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hint="eastAsia"/>
                <w:color w:val="000000"/>
                <w:szCs w:val="21"/>
                <w:highlight w:val="none"/>
                <w:lang w:val="zh-CN"/>
              </w:rPr>
            </w:pPr>
            <w:r>
              <w:rPr>
                <w:rFonts w:hint="eastAsia" w:ascii="宋体" w:hAnsi="宋体" w:cs="宋体"/>
                <w:b/>
                <w:color w:val="000000"/>
                <w:szCs w:val="21"/>
                <w:highlight w:val="none"/>
              </w:rPr>
              <w:t xml:space="preserve">管理措施：</w:t>
            </w:r>
            <w:r>
              <w:rPr>
                <w:rFonts w:hint="eastAsia" w:ascii="宋体" w:hAnsi="宋体" w:cs="宋体"/>
                <w:bCs/>
                <w:color w:val="000000"/>
                <w:szCs w:val="21"/>
                <w:highlight w:val="none"/>
              </w:rPr>
              <w:t xml:space="preserve">针对本项目内容以及保证施工质量要求，提供质量管理措施（组织、技术、工期、安全文明等）。方案专业、详细、可行</w:t>
            </w:r>
            <w:r>
              <w:rPr>
                <w:rFonts w:hint="eastAsia" w:cs="宋体"/>
                <w:bCs/>
                <w:color w:val="000000"/>
                <w:szCs w:val="21"/>
                <w:highlight w:val="none"/>
                <w:lang w:eastAsia="zh-CN"/>
              </w:rPr>
              <w:t xml:space="preserve">的</w:t>
            </w:r>
            <w:r>
              <w:rPr>
                <w:rFonts w:hint="eastAsia" w:ascii="宋体" w:hAnsi="宋体" w:cs="宋体"/>
                <w:bCs/>
                <w:color w:val="000000"/>
                <w:szCs w:val="21"/>
                <w:highlight w:val="none"/>
              </w:rPr>
              <w:t xml:space="preserve">得</w:t>
            </w:r>
            <w:r>
              <w:rPr>
                <w:rFonts w:hint="eastAsia" w:cs="宋体"/>
                <w:bCs/>
                <w:color w:val="000000"/>
                <w:szCs w:val="21"/>
                <w:highlight w:val="none"/>
                <w:lang w:val="en-US" w:eastAsia="zh-CN"/>
              </w:rPr>
              <w:t xml:space="preserve">5</w:t>
            </w:r>
            <w:r>
              <w:rPr>
                <w:rFonts w:hint="eastAsia" w:ascii="宋体" w:hAnsi="宋体" w:cs="宋体"/>
                <w:bCs/>
                <w:color w:val="000000"/>
                <w:szCs w:val="21"/>
                <w:highlight w:val="none"/>
              </w:rPr>
              <w:t xml:space="preserve">分；方案较为专业、详细、可行</w:t>
            </w:r>
            <w:r>
              <w:rPr>
                <w:rFonts w:hint="eastAsia" w:cs="宋体"/>
                <w:bCs/>
                <w:color w:val="000000"/>
                <w:szCs w:val="21"/>
                <w:highlight w:val="none"/>
                <w:lang w:eastAsia="zh-CN"/>
              </w:rPr>
              <w:t xml:space="preserve">的</w:t>
            </w:r>
            <w:r>
              <w:rPr>
                <w:rFonts w:hint="eastAsia" w:ascii="宋体" w:hAnsi="宋体" w:cs="宋体"/>
                <w:bCs/>
                <w:color w:val="000000"/>
                <w:szCs w:val="21"/>
                <w:highlight w:val="none"/>
              </w:rPr>
              <w:t xml:space="preserve">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分；方案一般的得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hint="eastAsia"/>
                <w:color w:val="000000"/>
                <w:szCs w:val="21"/>
                <w:highlight w:val="none"/>
                <w:lang w:val="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540"/>
        </w:trPr>
        <w:tc>
          <w:tcPr>
            <w:tcMar>
              <w:left w:w="108" w:type="dxa"/>
              <w:top w:w="0" w:type="dxa"/>
              <w:right w:w="108" w:type="dxa"/>
              <w:bottom w:w="0" w:type="dxa"/>
            </w:tcMar>
            <w:tcW w:w="391" w:type="dxa"/>
            <w:vAlign w:val="center"/>
            <w:textDirection w:val="lrTb"/>
            <w:noWrap w:val="false"/>
          </w:tcPr>
          <w:p>
            <w:pPr>
              <w:pStyle w:val="1023"/>
              <w:jc w:val="left"/>
              <w:widowControl/>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2.3</w:t>
            </w:r>
            <w:r>
              <w:rPr>
                <w:rFonts w:hint="eastAsia" w:ascii="宋体" w:hAnsi="宋体" w:cs="宋体"/>
                <w:color w:val="000000"/>
                <w:szCs w:val="21"/>
                <w:highlight w:val="none"/>
                <w:lang w:val="zh-CN"/>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hint="eastAsia"/>
                <w:color w:val="000000"/>
                <w:highlight w:val="none"/>
                <w:lang w:val="zh-CN"/>
              </w:rPr>
            </w:pPr>
            <w:r>
              <w:rPr>
                <w:rFonts w:hint="eastAsia" w:ascii="宋体" w:hAnsi="宋体" w:cs="宋体"/>
                <w:b/>
                <w:color w:val="000000"/>
                <w:szCs w:val="21"/>
                <w:highlight w:val="none"/>
              </w:rPr>
              <w:t xml:space="preserve">日常巡查方案：</w:t>
            </w:r>
            <w:r>
              <w:rPr>
                <w:rFonts w:hint="eastAsia" w:ascii="宋体" w:hAnsi="宋体" w:cs="宋体"/>
                <w:bCs/>
                <w:color w:val="000000"/>
                <w:szCs w:val="21"/>
                <w:highlight w:val="none"/>
              </w:rPr>
              <w:t xml:space="preserve">针对本项目养护内容，提供日常巡查的措施方案（含巡查方法、措施及巡查资料上传等）。方案专业、详细、合理可行得</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分；方案较为专业、详细、合理可行得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分；方案一般的得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hint="eastAsia"/>
                <w:color w:val="000000"/>
                <w:highlight w:val="none"/>
                <w:lang w:val="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634"/>
        </w:trPr>
        <w:tc>
          <w:tcPr>
            <w:tcMar>
              <w:left w:w="108" w:type="dxa"/>
              <w:top w:w="0" w:type="dxa"/>
              <w:right w:w="108" w:type="dxa"/>
              <w:bottom w:w="0" w:type="dxa"/>
            </w:tcMar>
            <w:tcW w:w="391"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2.4</w:t>
            </w:r>
            <w:r>
              <w:rPr>
                <w:rFonts w:hint="eastAsia" w:ascii="宋体" w:hAnsi="宋体" w:cs="宋体"/>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ascii="Times New Roman" w:hAnsi="Times New Roman" w:cs="Times New Roman"/>
                <w:color w:val="000000"/>
                <w:sz w:val="21"/>
                <w:szCs w:val="24"/>
                <w:highlight w:val="none"/>
                <w:lang w:eastAsia="zh-CN"/>
              </w:rPr>
            </w:pPr>
            <w:r>
              <w:rPr>
                <w:rFonts w:hint="eastAsia" w:ascii="宋体" w:hAnsi="宋体" w:cs="宋体"/>
                <w:b/>
                <w:color w:val="000000"/>
                <w:szCs w:val="21"/>
                <w:highlight w:val="none"/>
              </w:rPr>
              <w:t xml:space="preserve">应急预案：</w:t>
            </w:r>
            <w:r>
              <w:rPr>
                <w:rFonts w:hint="eastAsia" w:ascii="宋体" w:hAnsi="宋体" w:cs="宋体"/>
                <w:bCs/>
                <w:color w:val="000000"/>
                <w:szCs w:val="21"/>
                <w:highlight w:val="none"/>
              </w:rPr>
              <w:t xml:space="preserve">针对本项目养护内容，提供突发事件（如交通事故）、恶劣天气、节假日、抢险救灾措施及时等合理的应急预案。应急预案科学、完善、合理得</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分；应急预案较为科学、完善、合理得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分；应急预案一般的得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ascii="Times New Roman" w:hAnsi="Times New Roman" w:cs="Times New Roman"/>
                <w:color w:val="000000"/>
                <w:sz w:val="21"/>
                <w:szCs w:val="24"/>
                <w:highlight w:val="none"/>
                <w:lang w:eastAsia="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383"/>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2.5</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hint="eastAsia"/>
                <w:color w:val="000000"/>
                <w:szCs w:val="21"/>
                <w:highlight w:val="none"/>
                <w:lang w:eastAsia="zh-CN"/>
              </w:rPr>
            </w:pPr>
            <w:r>
              <w:rPr>
                <w:rFonts w:hint="eastAsia" w:ascii="宋体" w:hAnsi="宋体" w:cs="宋体"/>
                <w:b/>
                <w:color w:val="000000"/>
                <w:szCs w:val="21"/>
                <w:highlight w:val="none"/>
              </w:rPr>
              <w:t xml:space="preserve">人员落实措施：</w:t>
            </w:r>
            <w:r>
              <w:rPr>
                <w:rFonts w:hint="eastAsia" w:ascii="宋体" w:hAnsi="宋体" w:cs="宋体"/>
                <w:bCs/>
                <w:color w:val="000000"/>
                <w:szCs w:val="21"/>
                <w:highlight w:val="none"/>
              </w:rPr>
              <w:t xml:space="preserve">针对本项目养护内容，提供项目部组织网络图且有人员落实到位的措施方案。方案专业、详细、合理可行得</w:t>
            </w:r>
            <w:r>
              <w:rPr>
                <w:rFonts w:ascii="宋体" w:hAnsi="宋体" w:cs="宋体"/>
                <w:bCs/>
                <w:color w:val="000000"/>
                <w:szCs w:val="21"/>
                <w:highlight w:val="none"/>
              </w:rPr>
              <w:t xml:space="preserve">5</w:t>
            </w:r>
            <w:r>
              <w:rPr>
                <w:rFonts w:hint="eastAsia" w:ascii="宋体" w:hAnsi="宋体" w:cs="宋体"/>
                <w:bCs/>
                <w:color w:val="000000"/>
                <w:szCs w:val="21"/>
                <w:highlight w:val="none"/>
              </w:rPr>
              <w:t xml:space="preserve">分；方案较为专业、详细、合理可行得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分；方案一般的得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hint="eastAsia"/>
                <w:color w:val="000000"/>
                <w:szCs w:val="21"/>
                <w:highlight w:val="none"/>
                <w:lang w:eastAsia="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1969"/>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2.6</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2625" w:type="dxa"/>
            <w:vAlign w:val="center"/>
            <w:textDirection w:val="lrTb"/>
            <w:noWrap w:val="false"/>
          </w:tcPr>
          <w:p>
            <w:pPr>
              <w:pStyle w:val="1271"/>
              <w:ind w:right="121"/>
              <w:spacing w:before="19" w:line="235"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后勤保障措施方案：</w:t>
            </w:r>
            <w:r>
              <w:rPr>
                <w:rFonts w:hint="eastAsia" w:ascii="宋体" w:hAnsi="宋体" w:cs="宋体"/>
                <w:bCs/>
                <w:color w:val="000000"/>
                <w:szCs w:val="21"/>
                <w:highlight w:val="none"/>
              </w:rPr>
              <w:t xml:space="preserve">针对本项目养护内容及要求，配备专职巡视资料员以及现场作业工人配备齐全，且权责、分工清晰明确，有上岗时间保障措施、后勤保障措施方案。方案专业、详细、合理可行得</w:t>
            </w:r>
            <w:r>
              <w:rPr>
                <w:rFonts w:hint="eastAsia" w:cs="宋体"/>
                <w:bCs/>
                <w:color w:val="000000"/>
                <w:szCs w:val="21"/>
                <w:highlight w:val="none"/>
                <w:lang w:val="en-US" w:eastAsia="zh-CN"/>
              </w:rPr>
              <w:t xml:space="preserve">3</w:t>
            </w:r>
            <w:r>
              <w:rPr>
                <w:rFonts w:hint="eastAsia" w:ascii="宋体" w:hAnsi="宋体" w:cs="宋体"/>
                <w:bCs/>
                <w:color w:val="000000"/>
                <w:szCs w:val="21"/>
                <w:highlight w:val="none"/>
              </w:rPr>
              <w:t xml:space="preserve">分；方案较为专业、详细、合理可行得</w:t>
            </w:r>
            <w:r>
              <w:rPr>
                <w:rFonts w:hint="eastAsia" w:cs="宋体"/>
                <w:bCs/>
                <w:color w:val="000000"/>
                <w:szCs w:val="21"/>
                <w:highlight w:val="none"/>
                <w:lang w:val="en-US" w:eastAsia="zh-CN"/>
              </w:rPr>
              <w:t xml:space="preserve">2</w:t>
            </w:r>
            <w:r>
              <w:rPr>
                <w:rFonts w:hint="eastAsia" w:ascii="宋体" w:hAnsi="宋体" w:cs="宋体"/>
                <w:bCs/>
                <w:color w:val="000000"/>
                <w:szCs w:val="21"/>
                <w:highlight w:val="none"/>
              </w:rPr>
              <w:t xml:space="preserve">分；方案一般的得</w:t>
            </w:r>
            <w:r>
              <w:rPr>
                <w:rFonts w:hint="eastAsia" w:cs="宋体"/>
                <w:bCs/>
                <w:color w:val="000000"/>
                <w:szCs w:val="21"/>
                <w:highlight w:val="none"/>
                <w:lang w:val="en-US" w:eastAsia="zh-CN"/>
              </w:rPr>
              <w:t xml:space="preserve">1</w:t>
            </w:r>
            <w:r>
              <w:rPr>
                <w:rFonts w:hint="eastAsia" w:ascii="宋体" w:hAnsi="宋体" w:cs="宋体"/>
                <w:bCs/>
                <w:color w:val="000000"/>
                <w:szCs w:val="21"/>
                <w:highlight w:val="none"/>
              </w:rPr>
              <w:t xml:space="preserve">分；未提供不得分。</w:t>
            </w:r>
            <w:r>
              <w:rPr>
                <w:rFonts w:hint="eastAsia" w:ascii="宋体" w:hAnsi="宋体" w:cs="宋体"/>
                <w:b/>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3</w:t>
            </w:r>
            <w:r>
              <w:rPr>
                <w:rFonts w:hint="eastAsia" w:ascii="宋体" w:hAnsi="宋体" w:eastAsia="宋体" w:cs="宋体"/>
                <w:bCs/>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2682"/>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lang w:val="en-US" w:eastAsia="zh-CN"/>
              </w:rPr>
              <w:t xml:space="preserve">7</w:t>
            </w:r>
            <w:r>
              <w:rPr>
                <w:rFonts w:hint="eastAsia" w:ascii="宋体" w:hAnsi="宋体" w:eastAsia="宋体" w:cs="宋体"/>
                <w:bCs/>
                <w:color w:val="000000"/>
                <w:szCs w:val="21"/>
                <w:highlight w:val="none"/>
                <w:lang w:val="en-US" w:eastAsia="zh-CN"/>
              </w:rPr>
            </w:r>
            <w:r/>
          </w:p>
        </w:tc>
        <w:tc>
          <w:tcPr>
            <w:tcMar>
              <w:left w:w="108" w:type="dxa"/>
              <w:top w:w="0" w:type="dxa"/>
              <w:right w:w="108" w:type="dxa"/>
              <w:bottom w:w="0" w:type="dxa"/>
            </w:tcMar>
            <w:tcW w:w="2625" w:type="dxa"/>
            <w:vAlign w:val="center"/>
            <w:textDirection w:val="lrTb"/>
            <w:noWrap w:val="false"/>
          </w:tcPr>
          <w:p>
            <w:pPr>
              <w:pStyle w:val="1023"/>
              <w:spacing w:line="360" w:lineRule="atLeast"/>
              <w:rPr>
                <w:rFonts w:ascii="宋体" w:hAnsi="宋体" w:cs="宋体"/>
                <w:bCs/>
                <w:color w:val="000000"/>
                <w:szCs w:val="21"/>
                <w:highlight w:val="none"/>
              </w:rPr>
            </w:pPr>
            <w:r>
              <w:rPr>
                <w:rFonts w:hint="eastAsia" w:ascii="宋体" w:hAnsi="宋体" w:eastAsia="宋体" w:cs="宋体"/>
                <w:b/>
                <w:color w:val="000000"/>
                <w:sz w:val="22"/>
                <w:szCs w:val="21"/>
                <w:highlight w:val="none"/>
                <w:lang w:val="en-US" w:eastAsia="en-US" w:bidi="ar-SA"/>
              </w:rPr>
              <w:t xml:space="preserve">养护维修基地：</w:t>
            </w:r>
            <w:r>
              <w:rPr>
                <w:rFonts w:hint="eastAsia" w:ascii="宋体" w:hAnsi="宋体" w:eastAsia="宋体" w:cs="宋体"/>
                <w:bCs/>
                <w:color w:val="000000"/>
                <w:sz w:val="22"/>
                <w:szCs w:val="21"/>
                <w:highlight w:val="none"/>
                <w:lang w:val="en-US" w:eastAsia="en-US" w:bidi="ar-SA"/>
              </w:rPr>
              <w:t xml:space="preserve">根据投标单位</w:t>
            </w:r>
            <w:r>
              <w:rPr>
                <w:rFonts w:hint="eastAsia" w:ascii="宋体" w:hAnsi="宋体" w:eastAsia="宋体" w:cs="宋体"/>
                <w:bCs/>
                <w:color w:val="000000"/>
                <w:sz w:val="22"/>
                <w:szCs w:val="21"/>
                <w:highlight w:val="none"/>
                <w:lang w:val="en-US" w:eastAsia="zh-CN" w:bidi="ar-SA"/>
              </w:rPr>
              <w:t xml:space="preserve">自有或租赁</w:t>
            </w:r>
            <w:r>
              <w:rPr>
                <w:rFonts w:hint="eastAsia" w:ascii="宋体" w:hAnsi="宋体" w:eastAsia="宋体" w:cs="宋体"/>
                <w:bCs/>
                <w:color w:val="000000"/>
                <w:sz w:val="22"/>
                <w:szCs w:val="21"/>
                <w:highlight w:val="none"/>
                <w:lang w:val="en-US" w:eastAsia="en-US" w:bidi="ar-SA"/>
              </w:rPr>
              <w:t xml:space="preserve">的养护基地便利性进行评审，投标单位的养护维修基地（要求基地能提供停放大型车辆</w:t>
            </w:r>
            <w:r>
              <w:rPr>
                <w:rFonts w:hint="eastAsia" w:ascii="宋体" w:hAnsi="宋体" w:eastAsia="宋体" w:cs="宋体"/>
                <w:bCs/>
                <w:color w:val="000000"/>
                <w:sz w:val="22"/>
                <w:szCs w:val="21"/>
                <w:highlight w:val="none"/>
                <w:lang w:val="en-US" w:eastAsia="en-US" w:bidi="ar-SA"/>
              </w:rPr>
              <w:t xml:space="preserve">设备及材料堆放场）便利性强、场地宽敞、布置科学合理</w:t>
            </w:r>
            <w:r>
              <w:rPr>
                <w:rFonts w:hint="eastAsia" w:ascii="宋体" w:hAnsi="宋体" w:eastAsia="宋体" w:cs="宋体"/>
                <w:bCs/>
                <w:color w:val="000000"/>
                <w:sz w:val="22"/>
                <w:szCs w:val="21"/>
                <w:highlight w:val="none"/>
                <w:lang w:val="en-US" w:eastAsia="zh-CN" w:bidi="ar-SA"/>
              </w:rPr>
              <w:t xml:space="preserve">、且</w:t>
            </w:r>
            <w:r>
              <w:rPr>
                <w:rFonts w:hint="eastAsia" w:ascii="宋体" w:hAnsi="宋体" w:eastAsia="宋体" w:cs="宋体"/>
                <w:bCs/>
                <w:color w:val="000000"/>
                <w:sz w:val="22"/>
                <w:szCs w:val="21"/>
                <w:highlight w:val="none"/>
                <w:lang w:val="en-US" w:eastAsia="en-US" w:bidi="ar-SA"/>
              </w:rPr>
              <w:t xml:space="preserve">与</w:t>
            </w:r>
            <w:r>
              <w:rPr>
                <w:rFonts w:hint="eastAsia" w:ascii="宋体" w:hAnsi="宋体" w:eastAsia="宋体" w:cs="宋体"/>
                <w:bCs/>
                <w:color w:val="000000"/>
                <w:sz w:val="22"/>
                <w:szCs w:val="21"/>
                <w:highlight w:val="none"/>
                <w:lang w:val="en-US" w:eastAsia="zh-CN" w:bidi="ar-SA"/>
              </w:rPr>
              <w:t xml:space="preserve">本项目</w:t>
            </w:r>
            <w:r>
              <w:rPr>
                <w:rFonts w:hint="eastAsia" w:ascii="宋体" w:hAnsi="宋体" w:eastAsia="宋体" w:cs="宋体"/>
                <w:bCs/>
                <w:color w:val="000000"/>
                <w:sz w:val="22"/>
                <w:szCs w:val="21"/>
                <w:highlight w:val="none"/>
                <w:lang w:val="en-US" w:eastAsia="en-US" w:bidi="ar-SA"/>
              </w:rPr>
              <w:t xml:space="preserve">养护区域基准点</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武进大道与武宜南路交汇处</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距离小于</w:t>
            </w:r>
            <w:r>
              <w:rPr>
                <w:rFonts w:hint="eastAsia" w:ascii="宋体" w:hAnsi="宋体" w:eastAsia="宋体" w:cs="宋体"/>
                <w:bCs/>
                <w:color w:val="000000"/>
                <w:sz w:val="22"/>
                <w:szCs w:val="21"/>
                <w:highlight w:val="none"/>
                <w:lang w:val="en-US" w:eastAsia="zh-CN" w:bidi="ar-SA"/>
              </w:rPr>
              <w:t xml:space="preserve">10</w:t>
            </w:r>
            <w:r>
              <w:rPr>
                <w:rFonts w:hint="eastAsia" w:ascii="宋体" w:hAnsi="宋体" w:eastAsia="宋体" w:cs="宋体"/>
                <w:bCs/>
                <w:color w:val="000000"/>
                <w:sz w:val="22"/>
                <w:szCs w:val="21"/>
                <w:highlight w:val="none"/>
                <w:lang w:val="en-US" w:eastAsia="en-US" w:bidi="ar-SA"/>
              </w:rPr>
              <w:t xml:space="preserve">km</w:t>
            </w:r>
            <w:r>
              <w:rPr>
                <w:rFonts w:hint="eastAsia" w:ascii="宋体" w:hAnsi="宋体" w:eastAsia="宋体" w:cs="宋体"/>
                <w:bCs/>
                <w:color w:val="000000"/>
                <w:sz w:val="22"/>
                <w:szCs w:val="21"/>
                <w:highlight w:val="none"/>
                <w:lang w:val="en-US" w:eastAsia="zh-CN" w:bidi="ar-SA"/>
              </w:rPr>
              <w:t xml:space="preserve">的</w:t>
            </w:r>
            <w:r>
              <w:rPr>
                <w:rFonts w:hint="eastAsia" w:ascii="宋体" w:hAnsi="宋体" w:eastAsia="宋体" w:cs="宋体"/>
                <w:bCs/>
                <w:color w:val="000000"/>
                <w:sz w:val="22"/>
                <w:szCs w:val="21"/>
                <w:highlight w:val="none"/>
                <w:lang w:val="en-US" w:eastAsia="en-US" w:bidi="ar-SA"/>
              </w:rPr>
              <w:t xml:space="preserve">得</w:t>
            </w:r>
            <w:r>
              <w:rPr>
                <w:rFonts w:hint="eastAsia" w:ascii="宋体" w:hAnsi="宋体" w:eastAsia="宋体" w:cs="宋体"/>
                <w:bCs/>
                <w:color w:val="000000"/>
                <w:sz w:val="22"/>
                <w:szCs w:val="21"/>
                <w:highlight w:val="none"/>
                <w:lang w:val="en-US" w:eastAsia="zh-CN" w:bidi="ar-SA"/>
              </w:rPr>
              <w:t xml:space="preserve">5</w:t>
            </w:r>
            <w:r>
              <w:rPr>
                <w:rFonts w:hint="eastAsia" w:ascii="宋体" w:hAnsi="宋体" w:eastAsia="宋体" w:cs="宋体"/>
                <w:bCs/>
                <w:color w:val="000000"/>
                <w:sz w:val="22"/>
                <w:szCs w:val="21"/>
                <w:highlight w:val="none"/>
                <w:lang w:val="en-US" w:eastAsia="en-US" w:bidi="ar-SA"/>
              </w:rPr>
              <w:t xml:space="preserve">分；养护维修基地便利性较强、场地较宽敞、布局较合理</w:t>
            </w:r>
            <w:r>
              <w:rPr>
                <w:rFonts w:hint="eastAsia" w:ascii="宋体" w:hAnsi="宋体" w:eastAsia="宋体" w:cs="宋体"/>
                <w:bCs/>
                <w:color w:val="000000"/>
                <w:sz w:val="22"/>
                <w:szCs w:val="21"/>
                <w:highlight w:val="none"/>
                <w:lang w:val="en-US" w:eastAsia="zh-CN" w:bidi="ar-SA"/>
              </w:rPr>
              <w:t xml:space="preserve">、且</w:t>
            </w:r>
            <w:r>
              <w:rPr>
                <w:rFonts w:hint="eastAsia" w:ascii="宋体" w:hAnsi="宋体" w:eastAsia="宋体" w:cs="宋体"/>
                <w:bCs/>
                <w:color w:val="000000"/>
                <w:sz w:val="22"/>
                <w:szCs w:val="21"/>
                <w:highlight w:val="none"/>
                <w:lang w:val="en-US" w:eastAsia="en-US" w:bidi="ar-SA"/>
              </w:rPr>
              <w:t xml:space="preserve">与</w:t>
            </w:r>
            <w:r>
              <w:rPr>
                <w:rFonts w:hint="eastAsia" w:ascii="宋体" w:hAnsi="宋体" w:eastAsia="宋体" w:cs="宋体"/>
                <w:bCs/>
                <w:color w:val="000000"/>
                <w:sz w:val="22"/>
                <w:szCs w:val="21"/>
                <w:highlight w:val="none"/>
                <w:lang w:val="en-US" w:eastAsia="zh-CN" w:bidi="ar-SA"/>
              </w:rPr>
              <w:t xml:space="preserve">本项目</w:t>
            </w:r>
            <w:r>
              <w:rPr>
                <w:rFonts w:hint="eastAsia" w:ascii="宋体" w:hAnsi="宋体" w:eastAsia="宋体" w:cs="宋体"/>
                <w:bCs/>
                <w:color w:val="000000"/>
                <w:sz w:val="22"/>
                <w:szCs w:val="21"/>
                <w:highlight w:val="none"/>
                <w:lang w:val="en-US" w:eastAsia="en-US" w:bidi="ar-SA"/>
              </w:rPr>
              <w:t xml:space="preserve">养护区域基准点</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武进大道与武宜南路交汇处</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距离</w:t>
            </w:r>
            <w:r>
              <w:rPr>
                <w:rFonts w:hint="eastAsia" w:ascii="宋体" w:hAnsi="宋体" w:eastAsia="宋体" w:cs="宋体"/>
                <w:bCs/>
                <w:color w:val="000000"/>
                <w:sz w:val="22"/>
                <w:szCs w:val="21"/>
                <w:highlight w:val="none"/>
                <w:lang w:val="en-US" w:eastAsia="zh-CN" w:bidi="ar-SA"/>
              </w:rPr>
              <w:t xml:space="preserve">在</w:t>
            </w:r>
            <w:r>
              <w:rPr>
                <w:rFonts w:hint="eastAsia" w:ascii="宋体" w:hAnsi="宋体" w:eastAsia="宋体" w:cs="宋体"/>
                <w:bCs/>
                <w:color w:val="000000"/>
                <w:sz w:val="22"/>
                <w:szCs w:val="21"/>
                <w:highlight w:val="none"/>
                <w:lang w:val="en-US" w:eastAsia="en-US" w:bidi="ar-SA"/>
              </w:rPr>
              <w:t xml:space="preserve">10km(包含10km)---15km（不包含15km）的得</w:t>
            </w:r>
            <w:r>
              <w:rPr>
                <w:rFonts w:hint="eastAsia" w:ascii="宋体" w:hAnsi="宋体" w:eastAsia="宋体" w:cs="宋体"/>
                <w:bCs/>
                <w:color w:val="000000"/>
                <w:sz w:val="22"/>
                <w:szCs w:val="21"/>
                <w:highlight w:val="none"/>
                <w:lang w:val="en-US" w:eastAsia="zh-CN" w:bidi="ar-SA"/>
              </w:rPr>
              <w:t xml:space="preserve">3</w:t>
            </w:r>
            <w:r>
              <w:rPr>
                <w:rFonts w:hint="eastAsia" w:ascii="宋体" w:hAnsi="宋体" w:eastAsia="宋体" w:cs="宋体"/>
                <w:bCs/>
                <w:color w:val="000000"/>
                <w:sz w:val="22"/>
                <w:szCs w:val="21"/>
                <w:highlight w:val="none"/>
                <w:lang w:val="en-US" w:eastAsia="en-US" w:bidi="ar-SA"/>
              </w:rPr>
              <w:t xml:space="preserve">分</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养护维修基地便利性一般、场地布置一般</w:t>
            </w:r>
            <w:r>
              <w:rPr>
                <w:rFonts w:hint="eastAsia" w:ascii="宋体" w:hAnsi="宋体" w:eastAsia="宋体" w:cs="宋体"/>
                <w:bCs/>
                <w:color w:val="000000"/>
                <w:sz w:val="22"/>
                <w:szCs w:val="21"/>
                <w:highlight w:val="none"/>
                <w:lang w:val="en-US" w:eastAsia="zh-CN" w:bidi="ar-SA"/>
              </w:rPr>
              <w:t xml:space="preserve">、且</w:t>
            </w:r>
            <w:r>
              <w:rPr>
                <w:rFonts w:hint="eastAsia" w:ascii="宋体" w:hAnsi="宋体" w:eastAsia="宋体" w:cs="宋体"/>
                <w:bCs/>
                <w:color w:val="000000"/>
                <w:sz w:val="22"/>
                <w:szCs w:val="21"/>
                <w:highlight w:val="none"/>
                <w:lang w:val="en-US" w:eastAsia="en-US" w:bidi="ar-SA"/>
              </w:rPr>
              <w:t xml:space="preserve">与</w:t>
            </w:r>
            <w:r>
              <w:rPr>
                <w:rFonts w:hint="eastAsia" w:ascii="宋体" w:hAnsi="宋体" w:eastAsia="宋体" w:cs="宋体"/>
                <w:bCs/>
                <w:color w:val="000000"/>
                <w:sz w:val="22"/>
                <w:szCs w:val="21"/>
                <w:highlight w:val="none"/>
                <w:lang w:val="en-US" w:eastAsia="zh-CN" w:bidi="ar-SA"/>
              </w:rPr>
              <w:t xml:space="preserve">本项目</w:t>
            </w:r>
            <w:r>
              <w:rPr>
                <w:rFonts w:hint="eastAsia" w:ascii="宋体" w:hAnsi="宋体" w:eastAsia="宋体" w:cs="宋体"/>
                <w:bCs/>
                <w:color w:val="000000"/>
                <w:sz w:val="22"/>
                <w:szCs w:val="21"/>
                <w:highlight w:val="none"/>
                <w:lang w:val="en-US" w:eastAsia="en-US" w:bidi="ar-SA"/>
              </w:rPr>
              <w:t xml:space="preserve">养护区域基准点</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武进大道与武宜南路交汇处</w:t>
            </w:r>
            <w:r>
              <w:rPr>
                <w:rFonts w:hint="eastAsia" w:ascii="宋体" w:hAnsi="宋体" w:eastAsia="宋体" w:cs="宋体"/>
                <w:bCs/>
                <w:color w:val="000000"/>
                <w:sz w:val="22"/>
                <w:szCs w:val="21"/>
                <w:highlight w:val="none"/>
                <w:lang w:val="en-US" w:eastAsia="zh-CN" w:bidi="ar-SA"/>
              </w:rPr>
              <w:t xml:space="preserve">）</w:t>
            </w:r>
            <w:r>
              <w:rPr>
                <w:rFonts w:hint="eastAsia" w:ascii="宋体" w:hAnsi="宋体" w:eastAsia="宋体" w:cs="宋体"/>
                <w:bCs/>
                <w:color w:val="000000"/>
                <w:sz w:val="22"/>
                <w:szCs w:val="21"/>
                <w:highlight w:val="none"/>
                <w:lang w:val="en-US" w:eastAsia="en-US" w:bidi="ar-SA"/>
              </w:rPr>
              <w:t xml:space="preserve">距离</w:t>
            </w:r>
            <w:r>
              <w:rPr>
                <w:rFonts w:hint="eastAsia" w:ascii="宋体" w:hAnsi="宋体" w:eastAsia="宋体" w:cs="宋体"/>
                <w:bCs/>
                <w:color w:val="000000"/>
                <w:sz w:val="22"/>
                <w:szCs w:val="21"/>
                <w:highlight w:val="none"/>
                <w:lang w:val="en-US" w:eastAsia="zh-CN" w:bidi="ar-SA"/>
              </w:rPr>
              <w:t xml:space="preserve">在15km(包含15km)</w:t>
            </w:r>
            <w:r>
              <w:rPr>
                <w:rFonts w:hint="eastAsia" w:ascii="宋体" w:hAnsi="宋体" w:eastAsia="宋体" w:cs="宋体"/>
                <w:bCs/>
                <w:color w:val="000000"/>
                <w:sz w:val="22"/>
                <w:szCs w:val="21"/>
                <w:highlight w:val="none"/>
                <w:lang w:val="en-US" w:eastAsia="en-US" w:bidi="ar-SA"/>
              </w:rPr>
              <w:t xml:space="preserve">---</w:t>
            </w:r>
            <w:r>
              <w:rPr>
                <w:rFonts w:hint="eastAsia" w:ascii="宋体" w:hAnsi="宋体" w:eastAsia="宋体" w:cs="宋体"/>
                <w:bCs/>
                <w:color w:val="000000"/>
                <w:sz w:val="22"/>
                <w:szCs w:val="21"/>
                <w:highlight w:val="none"/>
                <w:lang w:val="en-US" w:eastAsia="zh-CN" w:bidi="ar-SA"/>
              </w:rPr>
              <w:t xml:space="preserve">20km（不包含20km）</w:t>
            </w:r>
            <w:r>
              <w:rPr>
                <w:rFonts w:hint="eastAsia" w:ascii="宋体" w:hAnsi="宋体" w:eastAsia="宋体" w:cs="宋体"/>
                <w:bCs/>
                <w:color w:val="000000"/>
                <w:sz w:val="22"/>
                <w:szCs w:val="21"/>
                <w:highlight w:val="none"/>
                <w:lang w:val="en-US" w:eastAsia="en-US" w:bidi="ar-SA"/>
              </w:rPr>
              <w:t xml:space="preserve">的得</w:t>
            </w:r>
            <w:r>
              <w:rPr>
                <w:rFonts w:hint="eastAsia" w:ascii="宋体" w:hAnsi="宋体" w:eastAsia="宋体" w:cs="宋体"/>
                <w:bCs/>
                <w:color w:val="000000"/>
                <w:sz w:val="22"/>
                <w:szCs w:val="21"/>
                <w:highlight w:val="none"/>
                <w:lang w:val="en-US" w:eastAsia="zh-CN" w:bidi="ar-SA"/>
              </w:rPr>
              <w:t xml:space="preserve">1</w:t>
            </w:r>
            <w:r>
              <w:rPr>
                <w:rFonts w:hint="eastAsia" w:ascii="宋体" w:hAnsi="宋体" w:eastAsia="宋体" w:cs="宋体"/>
                <w:bCs/>
                <w:color w:val="000000"/>
                <w:sz w:val="22"/>
                <w:szCs w:val="21"/>
                <w:highlight w:val="none"/>
                <w:lang w:val="en-US" w:eastAsia="en-US" w:bidi="ar-SA"/>
              </w:rPr>
              <w:t xml:space="preserve">分；</w:t>
            </w:r>
            <w:r>
              <w:rPr>
                <w:rFonts w:hint="eastAsia" w:ascii="宋体" w:hAnsi="宋体" w:eastAsia="宋体" w:cs="宋体"/>
                <w:bCs/>
                <w:color w:val="000000"/>
                <w:sz w:val="22"/>
                <w:szCs w:val="21"/>
                <w:highlight w:val="none"/>
                <w:lang w:val="en-US" w:eastAsia="en-US" w:bidi="ar-SA"/>
              </w:rPr>
              <w:t xml:space="preserve">未提供不得分。</w:t>
            </w:r>
            <w:r>
              <w:rPr>
                <w:rFonts w:ascii="宋体" w:hAnsi="宋体" w:cs="宋体"/>
                <w:bCs/>
                <w:color w:val="000000"/>
                <w:szCs w:val="21"/>
                <w:highlight w:val="none"/>
              </w:rPr>
            </w:r>
            <w:r/>
          </w:p>
          <w:p>
            <w:pPr>
              <w:pStyle w:val="1271"/>
              <w:ind w:right="121"/>
              <w:spacing w:before="19" w:line="235" w:lineRule="auto"/>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rPr>
              <w:t xml:space="preserve">注：提供养护</w:t>
            </w:r>
            <w:r>
              <w:rPr>
                <w:rFonts w:hint="eastAsia" w:cs="宋体"/>
                <w:b/>
                <w:color w:val="000000"/>
                <w:szCs w:val="21"/>
                <w:highlight w:val="none"/>
                <w:lang w:eastAsia="zh-CN"/>
              </w:rPr>
              <w:t xml:space="preserve">基地证明材料</w:t>
            </w:r>
            <w:r>
              <w:rPr>
                <w:rFonts w:hint="eastAsia" w:ascii="宋体" w:hAnsi="宋体" w:eastAsia="宋体" w:cs="宋体"/>
                <w:b/>
                <w:color w:val="000000"/>
                <w:szCs w:val="21"/>
                <w:highlight w:val="none"/>
                <w:lang w:eastAsia="zh-CN"/>
              </w:rPr>
              <w:t xml:space="preserve">【不动产证明或租赁合同】</w:t>
            </w:r>
            <w:r>
              <w:rPr>
                <w:rFonts w:hint="eastAsia" w:cs="宋体"/>
                <w:b/>
                <w:color w:val="000000"/>
                <w:szCs w:val="21"/>
                <w:highlight w:val="none"/>
                <w:lang w:eastAsia="zh-CN"/>
              </w:rPr>
              <w:t xml:space="preserve">、</w:t>
            </w:r>
            <w:r>
              <w:rPr>
                <w:rFonts w:hint="eastAsia" w:ascii="宋体" w:hAnsi="宋体" w:cs="宋体"/>
                <w:b/>
                <w:color w:val="000000"/>
                <w:szCs w:val="21"/>
                <w:highlight w:val="none"/>
              </w:rPr>
              <w:t xml:space="preserve">平面布置图（包括但不限于场地照片、</w:t>
            </w:r>
            <w:r>
              <w:rPr>
                <w:rFonts w:hint="eastAsia" w:cs="宋体"/>
                <w:b/>
                <w:color w:val="000000"/>
                <w:szCs w:val="21"/>
                <w:highlight w:val="none"/>
                <w:lang w:val="en-US" w:eastAsia="zh-CN"/>
              </w:rPr>
              <w:t xml:space="preserve">百度地图</w:t>
            </w:r>
            <w:r>
              <w:rPr>
                <w:rFonts w:hint="eastAsia" w:ascii="宋体" w:hAnsi="宋体" w:cs="宋体"/>
                <w:b/>
                <w:color w:val="000000"/>
                <w:szCs w:val="21"/>
                <w:highlight w:val="none"/>
              </w:rPr>
              <w:t xml:space="preserve">）、养护维修基地与本次招标养</w:t>
            </w:r>
            <w:r>
              <w:rPr>
                <w:rFonts w:hint="eastAsia" w:ascii="宋体" w:hAnsi="宋体" w:eastAsia="宋体" w:cs="宋体"/>
                <w:b/>
                <w:color w:val="000000"/>
                <w:szCs w:val="21"/>
                <w:highlight w:val="none"/>
              </w:rPr>
              <w:t xml:space="preserve">护区域基准点距离</w:t>
            </w:r>
            <w:r>
              <w:rPr>
                <w:rFonts w:hint="eastAsia" w:ascii="宋体" w:hAnsi="宋体" w:cs="宋体"/>
                <w:b/>
                <w:color w:val="000000"/>
                <w:szCs w:val="21"/>
                <w:highlight w:val="none"/>
              </w:rPr>
              <w:t xml:space="preserve">百度截图。</w:t>
            </w:r>
            <w:r>
              <w:rPr>
                <w:rFonts w:hint="eastAsia" w:ascii="宋体" w:hAnsi="宋体" w:eastAsia="宋体" w:cs="宋体"/>
                <w:b/>
                <w:color w:val="000000"/>
                <w:szCs w:val="21"/>
                <w:highlight w:val="none"/>
                <w:lang w:eastAsia="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lang w:val="en-US" w:eastAsia="zh-CN"/>
              </w:rPr>
              <w:t xml:space="preserve">5</w:t>
            </w:r>
            <w:r>
              <w:rPr>
                <w:rFonts w:hint="eastAsia" w:ascii="宋体" w:hAnsi="宋体" w:eastAsia="宋体" w:cs="宋体"/>
                <w:bCs/>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lang w:val="zh-TW"/>
              </w:rPr>
            </w:pPr>
            <w:r>
              <w:rPr>
                <w:rFonts w:hint="eastAsia" w:ascii="宋体" w:hAnsi="宋体" w:cs="宋体"/>
                <w:color w:val="000000"/>
                <w:szCs w:val="21"/>
                <w:highlight w:val="none"/>
                <w:lang w:val="zh-TW"/>
              </w:rPr>
            </w:r>
            <w:r/>
          </w:p>
        </w:tc>
      </w:tr>
      <w:tr>
        <w:trPr>
          <w:trHeight w:val="3912"/>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2.8</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2625" w:type="dxa"/>
            <w:vAlign w:val="center"/>
            <w:textDirection w:val="lrTb"/>
            <w:noWrap w:val="false"/>
          </w:tcPr>
          <w:p>
            <w:pPr>
              <w:pStyle w:val="1023"/>
              <w:ind w:left="105" w:right="59"/>
              <w:jc w:val="left"/>
              <w:rPr>
                <w:color w:val="000000"/>
                <w:spacing w:val="-4"/>
                <w:highlight w:val="none"/>
              </w:rPr>
            </w:pPr>
            <w:r>
              <w:rPr>
                <w:rFonts w:hint="eastAsia" w:ascii="宋体" w:hAnsi="宋体" w:cs="宋体"/>
                <w:b/>
                <w:bCs/>
                <w:color w:val="000000"/>
                <w:szCs w:val="21"/>
                <w:highlight w:val="none"/>
                <w:lang w:bidi="ar"/>
              </w:rPr>
              <w:t xml:space="preserve">创新管理方案</w:t>
            </w:r>
            <w:r>
              <w:rPr>
                <w:rFonts w:hint="eastAsia" w:ascii="宋体" w:hAnsi="宋体" w:cs="宋体"/>
                <w:b/>
                <w:bCs/>
                <w:color w:val="000000"/>
                <w:szCs w:val="21"/>
                <w:highlight w:val="none"/>
                <w:lang w:eastAsia="zh-CN" w:bidi="ar"/>
              </w:rPr>
              <w:t xml:space="preserve">：</w:t>
            </w:r>
            <w:r>
              <w:rPr>
                <w:rFonts w:hint="eastAsia" w:ascii="宋体" w:hAnsi="宋体"/>
                <w:color w:val="000000"/>
                <w:szCs w:val="21"/>
                <w:highlight w:val="none"/>
              </w:rPr>
              <w:t xml:space="preserve">投标人的</w:t>
            </w:r>
            <w:r>
              <w:rPr>
                <w:rFonts w:hint="eastAsia" w:ascii="宋体" w:hAnsi="宋体"/>
                <w:color w:val="000000"/>
                <w:szCs w:val="21"/>
                <w:highlight w:val="none"/>
                <w:lang w:val="en-US" w:eastAsia="zh-CN"/>
              </w:rPr>
              <w:t xml:space="preserve">创新管理</w:t>
            </w:r>
            <w:r>
              <w:rPr>
                <w:rFonts w:hint="eastAsia" w:ascii="宋体" w:hAnsi="宋体"/>
                <w:color w:val="000000"/>
                <w:szCs w:val="21"/>
                <w:highlight w:val="none"/>
              </w:rPr>
              <w:t xml:space="preserve">方案应包含</w:t>
            </w:r>
            <w:r>
              <w:rPr>
                <w:color w:val="000000"/>
                <w:spacing w:val="-4"/>
                <w:highlight w:val="none"/>
                <w:lang w:val="zh-CN"/>
              </w:rPr>
              <w:t xml:space="preserve">但不限于</w:t>
            </w:r>
            <w:r>
              <w:rPr>
                <w:rFonts w:hint="eastAsia"/>
                <w:color w:val="000000"/>
                <w:spacing w:val="-4"/>
                <w:highlight w:val="none"/>
                <w:lang w:val="zh-CN"/>
              </w:rPr>
              <w:t xml:space="preserve">以互联网+、物联网、智能系统管理平台等创新管理方式，以提升管理效率、提高管养水平</w:t>
            </w:r>
            <w:r>
              <w:rPr>
                <w:color w:val="000000"/>
                <w:spacing w:val="-4"/>
                <w:highlight w:val="none"/>
                <w:lang w:val="zh-CN"/>
              </w:rPr>
              <w:t xml:space="preserve">等</w:t>
            </w:r>
            <w:r>
              <w:rPr>
                <w:color w:val="000000"/>
                <w:spacing w:val="-4"/>
                <w:highlight w:val="none"/>
              </w:rPr>
              <w:t xml:space="preserve">。</w:t>
            </w:r>
            <w:r>
              <w:rPr>
                <w:color w:val="000000"/>
                <w:spacing w:val="-4"/>
                <w:highlight w:val="none"/>
              </w:rPr>
            </w:r>
            <w:r/>
          </w:p>
          <w:p>
            <w:pPr>
              <w:pStyle w:val="1023"/>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（1）创新管理方案先进、系统管理平台功能完善、可操作性非常好的，得</w:t>
            </w:r>
            <w:r>
              <w:rPr>
                <w:rFonts w:hint="eastAsia" w:ascii="宋体" w:hAnsi="宋体"/>
                <w:color w:val="000000"/>
                <w:szCs w:val="21"/>
                <w:highlight w:val="none"/>
                <w:lang w:val="en-US" w:eastAsia="zh-CN"/>
              </w:rPr>
              <w:t xml:space="preserve">2</w:t>
            </w:r>
            <w:r>
              <w:rPr>
                <w:rFonts w:hint="eastAsia" w:ascii="宋体" w:hAnsi="宋体"/>
                <w:color w:val="000000"/>
                <w:szCs w:val="21"/>
                <w:highlight w:val="none"/>
              </w:rPr>
              <w:t xml:space="preserve">分；</w:t>
            </w:r>
            <w:r>
              <w:rPr>
                <w:rFonts w:ascii="宋体" w:hAnsi="宋体"/>
                <w:color w:val="000000"/>
                <w:szCs w:val="21"/>
                <w:highlight w:val="none"/>
              </w:rPr>
            </w:r>
            <w:r/>
          </w:p>
          <w:p>
            <w:pPr>
              <w:pStyle w:val="1023"/>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（2）创新管理方案成熟、系统管理平台功能较简单、具有一定的可操作性的，得</w:t>
            </w:r>
            <w:r>
              <w:rPr>
                <w:rFonts w:hint="eastAsia" w:ascii="宋体" w:hAnsi="宋体"/>
                <w:color w:val="000000"/>
                <w:szCs w:val="21"/>
                <w:highlight w:val="none"/>
                <w:lang w:val="en-US" w:eastAsia="zh-CN"/>
              </w:rPr>
              <w:t xml:space="preserve">1</w:t>
            </w:r>
            <w:r>
              <w:rPr>
                <w:rFonts w:hint="eastAsia" w:ascii="宋体" w:hAnsi="宋体"/>
                <w:color w:val="000000"/>
                <w:szCs w:val="21"/>
                <w:highlight w:val="none"/>
              </w:rPr>
              <w:t xml:space="preserve">分；</w:t>
            </w:r>
            <w:r>
              <w:rPr>
                <w:rFonts w:ascii="宋体" w:hAnsi="宋体"/>
                <w:color w:val="000000"/>
                <w:szCs w:val="21"/>
                <w:highlight w:val="none"/>
              </w:rPr>
            </w:r>
            <w:r/>
          </w:p>
          <w:p>
            <w:pPr>
              <w:pStyle w:val="1023"/>
              <w:ind w:left="105" w:right="59" w:firstLine="210"/>
              <w:jc w:val="left"/>
              <w:rPr>
                <w:rFonts w:hint="eastAsia" w:ascii="宋体" w:hAnsi="宋体"/>
                <w:color w:val="000000"/>
                <w:szCs w:val="21"/>
                <w:highlight w:val="none"/>
              </w:rPr>
            </w:pPr>
            <w:r>
              <w:rPr>
                <w:rFonts w:hint="eastAsia" w:ascii="宋体" w:hAnsi="宋体"/>
                <w:color w:val="000000"/>
                <w:szCs w:val="21"/>
                <w:highlight w:val="none"/>
              </w:rPr>
              <w:t xml:space="preserve">（3）创新管理方案阐述不太详细、未配备系统管理平台、可操作性一般的，得</w:t>
            </w:r>
            <w:r>
              <w:rPr>
                <w:rFonts w:hint="eastAsia" w:ascii="宋体" w:hAnsi="宋体"/>
                <w:color w:val="000000"/>
                <w:szCs w:val="21"/>
                <w:highlight w:val="none"/>
                <w:lang w:val="en-US" w:eastAsia="zh-CN"/>
              </w:rPr>
              <w:t xml:space="preserve">0.5</w:t>
            </w:r>
            <w:r>
              <w:rPr>
                <w:rFonts w:hint="eastAsia" w:ascii="宋体" w:hAnsi="宋体"/>
                <w:color w:val="000000"/>
                <w:szCs w:val="21"/>
                <w:highlight w:val="none"/>
              </w:rPr>
              <w:t xml:space="preserve">分；</w:t>
            </w:r>
            <w:r>
              <w:rPr>
                <w:rFonts w:hint="eastAsia" w:ascii="宋体" w:hAnsi="宋体"/>
                <w:color w:val="000000"/>
                <w:szCs w:val="21"/>
                <w:highlight w:val="none"/>
              </w:rPr>
            </w:r>
            <w:r/>
          </w:p>
          <w:p>
            <w:pPr>
              <w:pStyle w:val="1023"/>
              <w:ind w:left="105" w:right="59" w:firstLine="210"/>
              <w:jc w:val="left"/>
              <w:rPr>
                <w:rFonts w:ascii="宋体" w:hAnsi="宋体"/>
                <w:color w:val="000000"/>
                <w:szCs w:val="21"/>
                <w:highlight w:val="none"/>
              </w:rPr>
            </w:pP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4</w:t>
            </w:r>
            <w:r>
              <w:rPr>
                <w:rFonts w:hint="eastAsia" w:ascii="宋体" w:hAnsi="宋体"/>
                <w:color w:val="000000"/>
                <w:szCs w:val="21"/>
                <w:highlight w:val="none"/>
              </w:rPr>
              <w:t xml:space="preserve">）未提供相关</w:t>
            </w:r>
            <w:r>
              <w:rPr>
                <w:rFonts w:hint="eastAsia" w:ascii="宋体" w:hAnsi="宋体"/>
                <w:color w:val="000000"/>
                <w:szCs w:val="21"/>
                <w:highlight w:val="none"/>
                <w:lang w:eastAsia="zh-CN"/>
              </w:rPr>
              <w:t xml:space="preserve">方案</w:t>
            </w:r>
            <w:r>
              <w:rPr>
                <w:rFonts w:hint="eastAsia" w:ascii="宋体" w:hAnsi="宋体"/>
                <w:color w:val="000000"/>
                <w:szCs w:val="21"/>
                <w:highlight w:val="none"/>
              </w:rPr>
              <w:t xml:space="preserve">阐述</w:t>
            </w:r>
            <w:r>
              <w:rPr>
                <w:rFonts w:hint="eastAsia" w:ascii="宋体" w:hAnsi="宋体"/>
                <w:color w:val="000000"/>
                <w:szCs w:val="21"/>
                <w:highlight w:val="none"/>
                <w:lang w:eastAsia="zh-CN"/>
              </w:rPr>
              <w:t xml:space="preserve">及功能演示</w:t>
            </w:r>
            <w:r>
              <w:rPr>
                <w:rFonts w:hint="eastAsia" w:ascii="宋体" w:hAnsi="宋体"/>
                <w:color w:val="000000"/>
                <w:szCs w:val="21"/>
                <w:highlight w:val="none"/>
              </w:rPr>
              <w:t xml:space="preserve">的，不得分。</w:t>
            </w:r>
            <w:r>
              <w:rPr>
                <w:rFonts w:ascii="宋体" w:hAnsi="宋体"/>
                <w:color w:val="000000"/>
                <w:szCs w:val="21"/>
                <w:highlight w:val="none"/>
              </w:rPr>
            </w:r>
            <w:r/>
          </w:p>
          <w:p>
            <w:pPr>
              <w:pStyle w:val="1023"/>
              <w:ind w:right="59"/>
              <w:jc w:val="left"/>
              <w:rPr>
                <w:rFonts w:hint="eastAsia" w:ascii="宋体" w:hAnsi="宋体" w:cs="宋体"/>
                <w:b/>
                <w:color w:val="000000"/>
                <w:szCs w:val="21"/>
                <w:highlight w:val="none"/>
              </w:rPr>
            </w:pPr>
            <w:r>
              <w:rPr>
                <w:rFonts w:hint="eastAsia" w:ascii="宋体" w:hAnsi="宋体" w:cs="宋体"/>
                <w:color w:val="000000"/>
                <w:szCs w:val="21"/>
                <w:highlight w:val="none"/>
                <w:lang w:bidi="ar"/>
              </w:rPr>
              <w:t xml:space="preserve">注：</w:t>
            </w:r>
            <w:bookmarkStart w:id="285" w:name="_Hlk199061350"/>
            <w:r>
              <w:rPr>
                <w:rFonts w:hint="eastAsia" w:ascii="宋体" w:hAnsi="宋体"/>
                <w:color w:val="000000"/>
                <w:szCs w:val="21"/>
                <w:highlight w:val="none"/>
                <w:lang w:eastAsia="zh-CN"/>
              </w:rPr>
              <w:t xml:space="preserve">供应商需以</w:t>
            </w:r>
            <w:r>
              <w:rPr>
                <w:rFonts w:hint="eastAsia" w:ascii="宋体" w:hAnsi="宋体"/>
                <w:color w:val="000000"/>
                <w:szCs w:val="21"/>
                <w:highlight w:val="none"/>
              </w:rPr>
              <w:t xml:space="preserve">演示视频的方式展示</w:t>
            </w:r>
            <w:r>
              <w:rPr>
                <w:rFonts w:hint="eastAsia" w:ascii="宋体" w:hAnsi="宋体"/>
                <w:color w:val="000000"/>
                <w:szCs w:val="21"/>
                <w:highlight w:val="none"/>
                <w:lang w:eastAsia="zh-CN"/>
              </w:rPr>
              <w:t xml:space="preserve">智慧平</w:t>
            </w:r>
            <w:r>
              <w:rPr>
                <w:rFonts w:hint="eastAsia" w:ascii="宋体" w:hAnsi="宋体"/>
                <w:color w:val="000000"/>
                <w:szCs w:val="21"/>
                <w:highlight w:val="none"/>
              </w:rPr>
              <w:t xml:space="preserve">台的功能，</w:t>
            </w:r>
            <w:r>
              <w:rPr>
                <w:rFonts w:hint="eastAsia" w:ascii="宋体" w:hAnsi="宋体"/>
                <w:color w:val="000000"/>
                <w:szCs w:val="21"/>
                <w:highlight w:val="none"/>
                <w:lang w:eastAsia="zh-CN"/>
              </w:rPr>
              <w:t xml:space="preserve">展示</w:t>
            </w:r>
            <w:r>
              <w:rPr>
                <w:rFonts w:hint="eastAsia" w:ascii="宋体" w:hAnsi="宋体"/>
                <w:color w:val="000000"/>
                <w:szCs w:val="21"/>
                <w:highlight w:val="none"/>
              </w:rPr>
              <w:t xml:space="preserve">软件在本项目中的应用模式。录制的演示视频需上传至苏采云系统，评审时以播放视频的形式进行演示</w:t>
            </w:r>
            <w:bookmarkEnd w:id="285"/>
            <w:r>
              <w:rPr>
                <w:rFonts w:hint="eastAsia" w:ascii="宋体" w:hAnsi="宋体"/>
                <w:color w:val="000000"/>
                <w:szCs w:val="21"/>
                <w:highlight w:val="none"/>
              </w:rPr>
              <w:t xml:space="preserve">。</w:t>
            </w:r>
            <w:r>
              <w:rPr>
                <w:rFonts w:hint="eastAsia" w:ascii="宋体" w:hAnsi="宋体" w:cs="宋体"/>
                <w:b/>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2</w:t>
            </w:r>
            <w:r>
              <w:rPr>
                <w:rFonts w:ascii="宋体" w:hAnsi="宋体" w:cs="宋体"/>
                <w:bCs/>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color w:val="000000"/>
                <w:spacing w:val="-4"/>
                <w:highlight w:val="none"/>
                <w:lang w:val="zh-TW"/>
              </w:rPr>
            </w:pPr>
            <w:r>
              <w:rPr>
                <w:rFonts w:hint="eastAsia" w:ascii="宋体" w:hAnsi="宋体"/>
                <w:b/>
                <w:color w:val="000000"/>
                <w:highlight w:val="none"/>
              </w:rPr>
              <w:t xml:space="preserve">视频文件的格式为*.mp4或*.avi，供应商须将视频文件分段压缩为*.zip文件上传（单个文件不得大于50M，所有文件总共不得大于300M）。文件上传方式见《操作手册》规定，上传的演示视频将作为投标文件的组成部分，视频时长总计不超过5分钟。</w:t>
            </w:r>
            <w:r>
              <w:rPr>
                <w:rFonts w:hint="eastAsia"/>
                <w:color w:val="000000"/>
                <w:spacing w:val="-4"/>
                <w:highlight w:val="none"/>
                <w:lang w:val="zh-TW"/>
              </w:rPr>
            </w:r>
            <w:r/>
          </w:p>
        </w:tc>
      </w:tr>
      <w:tr>
        <w:trPr>
          <w:trHeight w:val="574"/>
        </w:trPr>
        <w:tc>
          <w:tcPr>
            <w:gridSpan w:val="4"/>
            <w:tcMar>
              <w:left w:w="108" w:type="dxa"/>
              <w:top w:w="0" w:type="dxa"/>
              <w:right w:w="108" w:type="dxa"/>
              <w:bottom w:w="0" w:type="dxa"/>
            </w:tcMar>
            <w:tcW w:w="10400" w:type="dxa"/>
            <w:vAlign w:val="center"/>
            <w:textDirection w:val="lrTb"/>
            <w:noWrap w:val="false"/>
          </w:tcPr>
          <w:p>
            <w:pPr>
              <w:pStyle w:val="1023"/>
              <w:jc w:val="left"/>
              <w:spacing w:before="100" w:beforeAutospacing="1" w:after="100" w:afterAutospacing="1"/>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客观分（</w:t>
            </w:r>
            <w:r>
              <w:rPr>
                <w:rFonts w:hint="eastAsia" w:ascii="宋体" w:hAnsi="宋体" w:cs="宋体"/>
                <w:b/>
                <w:color w:val="000000"/>
                <w:sz w:val="24"/>
                <w:highlight w:val="none"/>
                <w:lang w:val="en-US" w:eastAsia="zh-CN"/>
              </w:rPr>
              <w:t xml:space="preserve">50</w:t>
            </w:r>
            <w:r>
              <w:rPr>
                <w:rFonts w:hint="eastAsia" w:ascii="宋体" w:hAnsi="宋体" w:cs="宋体"/>
                <w:b/>
                <w:color w:val="000000"/>
                <w:sz w:val="24"/>
                <w:highlight w:val="none"/>
              </w:rPr>
              <w:t xml:space="preserve">分）</w:t>
            </w:r>
            <w:r>
              <w:rPr>
                <w:rFonts w:hint="eastAsia" w:ascii="宋体" w:hAnsi="宋体" w:cs="宋体"/>
                <w:bCs/>
                <w:color w:val="000000"/>
                <w:sz w:val="24"/>
                <w:highlight w:val="none"/>
              </w:rPr>
            </w:r>
            <w:r/>
          </w:p>
        </w:tc>
      </w:tr>
      <w:tr>
        <w:trPr>
          <w:cantSplit/>
          <w:trHeight w:val="90"/>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3.1</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023"/>
              <w:jc w:val="left"/>
              <w:widowControl/>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人员配备：</w:t>
            </w:r>
            <w:r>
              <w:rPr>
                <w:rFonts w:hint="eastAsia" w:ascii="宋体" w:hAnsi="宋体" w:cs="宋体"/>
                <w:bCs/>
                <w:color w:val="000000"/>
                <w:szCs w:val="21"/>
                <w:highlight w:val="none"/>
              </w:rPr>
              <w:t xml:space="preserve">项目负责人具</w:t>
            </w:r>
            <w:r>
              <w:rPr>
                <w:rFonts w:hint="eastAsia" w:ascii="宋体" w:hAnsi="宋体" w:cs="宋体"/>
                <w:bCs/>
                <w:color w:val="000000"/>
                <w:szCs w:val="21"/>
                <w:highlight w:val="none"/>
                <w:lang w:eastAsia="zh-CN"/>
              </w:rPr>
              <w:t xml:space="preserve">有</w:t>
            </w:r>
            <w:r>
              <w:rPr>
                <w:rFonts w:hint="eastAsia" w:ascii="宋体" w:hAnsi="宋体" w:cs="宋体"/>
                <w:bCs/>
                <w:color w:val="000000"/>
                <w:szCs w:val="21"/>
                <w:highlight w:val="none"/>
              </w:rPr>
              <w:t xml:space="preserve">工程师及以上职称证书，技术负责人具备工程师及以上职称证书，安全员具备安全员证书（以上人员一人一岗，不得兼职兼任），有一项得1.5分，本项最高得4.5分。</w:t>
            </w:r>
            <w:r>
              <w:rPr>
                <w:rFonts w:hint="eastAsia" w:ascii="宋体" w:hAnsi="宋体" w:cs="宋体"/>
                <w:color w:val="000000"/>
                <w:szCs w:val="21"/>
                <w:highlight w:val="none"/>
                <w:lang w:val="zh-CN"/>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4.5</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color w:val="000000"/>
                <w:szCs w:val="21"/>
                <w:highlight w:val="none"/>
              </w:rPr>
              <w:t xml:space="preserve">提</w:t>
            </w:r>
            <w:r>
              <w:rPr>
                <w:rFonts w:hint="eastAsia" w:ascii="Times New Roman" w:hAnsi="Times New Roman" w:eastAsia="宋体" w:cs="Times New Roman"/>
                <w:color w:val="000000"/>
                <w:szCs w:val="21"/>
                <w:highlight w:val="none"/>
              </w:rPr>
              <w:t xml:space="preserve">供相关人员证书及投标单位为其缴纳的近3个月的社保缴纳证明</w:t>
            </w:r>
            <w:r>
              <w:rPr>
                <w:rFonts w:hint="eastAsia" w:ascii="Times New Roman" w:hAnsi="Times New Roman" w:eastAsia="宋体" w:cs="Times New Roman"/>
                <w:color w:val="000000"/>
                <w:szCs w:val="21"/>
                <w:highlight w:val="none"/>
                <w:lang w:val="zh-CN"/>
              </w:rPr>
              <w:t xml:space="preserve">（202</w:t>
            </w:r>
            <w:r>
              <w:rPr>
                <w:rFonts w:hint="eastAsia" w:ascii="Times New Roman" w:hAnsi="Times New Roman" w:eastAsia="宋体" w:cs="Times New Roman"/>
                <w:color w:val="000000"/>
                <w:szCs w:val="21"/>
                <w:highlight w:val="none"/>
                <w:lang w:val="en-US" w:eastAsia="zh-CN"/>
              </w:rPr>
              <w:t xml:space="preserve">5</w:t>
            </w:r>
            <w:r>
              <w:rPr>
                <w:rFonts w:hint="eastAsia" w:ascii="Times New Roman" w:hAnsi="Times New Roman" w:eastAsia="宋体" w:cs="Times New Roman"/>
                <w:color w:val="000000"/>
                <w:szCs w:val="21"/>
                <w:highlight w:val="none"/>
                <w:lang w:val="zh-CN"/>
              </w:rPr>
              <w:t xml:space="preserve">年</w:t>
            </w:r>
            <w:r>
              <w:rPr>
                <w:rFonts w:hint="eastAsia" w:ascii="Times New Roman" w:hAnsi="Times New Roman" w:eastAsia="宋体" w:cs="Times New Roman"/>
                <w:color w:val="000000"/>
                <w:szCs w:val="21"/>
                <w:highlight w:val="none"/>
                <w:lang w:val="en-US" w:eastAsia="zh-CN"/>
              </w:rPr>
              <w:t xml:space="preserve">10</w:t>
            </w:r>
            <w:r>
              <w:rPr>
                <w:rFonts w:hint="eastAsia" w:ascii="Times New Roman" w:hAnsi="Times New Roman" w:eastAsia="宋体" w:cs="Times New Roman"/>
                <w:color w:val="000000"/>
                <w:szCs w:val="21"/>
                <w:highlight w:val="none"/>
                <w:lang w:val="zh-CN"/>
              </w:rPr>
              <w:t xml:space="preserve">月-202</w:t>
            </w:r>
            <w:r>
              <w:rPr>
                <w:rFonts w:hint="eastAsia" w:ascii="Times New Roman" w:hAnsi="Times New Roman" w:eastAsia="宋体" w:cs="Times New Roman"/>
                <w:color w:val="000000"/>
                <w:szCs w:val="21"/>
                <w:highlight w:val="none"/>
                <w:lang w:val="en-US" w:eastAsia="zh-CN"/>
              </w:rPr>
              <w:t xml:space="preserve">5</w:t>
            </w:r>
            <w:r>
              <w:rPr>
                <w:rFonts w:hint="eastAsia" w:ascii="Times New Roman" w:hAnsi="Times New Roman" w:eastAsia="宋体" w:cs="Times New Roman"/>
                <w:color w:val="000000"/>
                <w:szCs w:val="21"/>
                <w:highlight w:val="none"/>
                <w:lang w:val="zh-CN"/>
              </w:rPr>
              <w:t xml:space="preserve">年1</w:t>
            </w:r>
            <w:r>
              <w:rPr>
                <w:rFonts w:hint="eastAsia" w:ascii="Times New Roman" w:hAnsi="Times New Roman" w:eastAsia="宋体"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val="zh-CN"/>
              </w:rPr>
              <w:t xml:space="preserve">月连续三个月）</w:t>
            </w:r>
            <w:r>
              <w:rPr>
                <w:rFonts w:hint="eastAsia" w:ascii="宋体" w:hAnsi="宋体" w:cs="宋体"/>
                <w:color w:val="000000"/>
                <w:szCs w:val="21"/>
                <w:highlight w:val="none"/>
              </w:rPr>
            </w:r>
            <w:r/>
          </w:p>
        </w:tc>
      </w:tr>
      <w:tr>
        <w:trPr>
          <w:cantSplit/>
          <w:trHeight w:val="1296"/>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3.2</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023"/>
              <w:rPr>
                <w:color w:val="000000"/>
                <w:highlight w:val="none"/>
              </w:rPr>
            </w:pPr>
            <w:r>
              <w:rPr>
                <w:rFonts w:hint="eastAsia" w:ascii="宋体" w:hAnsi="宋体" w:cs="宋体"/>
                <w:b/>
                <w:bCs/>
                <w:color w:val="000000"/>
                <w:szCs w:val="21"/>
                <w:highlight w:val="none"/>
              </w:rPr>
              <w:t xml:space="preserve">养护服务通用设备1：</w:t>
            </w:r>
            <w:r>
              <w:rPr>
                <w:rFonts w:hint="eastAsia" w:ascii="宋体" w:hAnsi="宋体" w:cs="宋体"/>
                <w:bCs/>
                <w:color w:val="000000"/>
                <w:szCs w:val="21"/>
                <w:highlight w:val="none"/>
              </w:rPr>
              <w:t xml:space="preserve">投标</w:t>
            </w:r>
            <w:r>
              <w:rPr>
                <w:rFonts w:hint="eastAsia" w:ascii="宋体" w:hAnsi="宋体" w:eastAsia="宋体" w:cs="宋体"/>
                <w:bCs/>
                <w:color w:val="000000"/>
                <w:szCs w:val="21"/>
                <w:highlight w:val="none"/>
              </w:rPr>
              <w:t xml:space="preserve">单位自有巡查车辆、清淤车、疏通车，有一种车</w:t>
            </w:r>
            <w:r>
              <w:rPr>
                <w:rFonts w:hint="eastAsia" w:ascii="宋体" w:hAnsi="宋体" w:cs="宋体"/>
                <w:bCs/>
                <w:color w:val="000000"/>
                <w:szCs w:val="21"/>
                <w:highlight w:val="none"/>
              </w:rPr>
              <w:t xml:space="preserve">辆得</w:t>
            </w:r>
            <w:r>
              <w:rPr>
                <w:rFonts w:hint="eastAsia" w:ascii="宋体" w:hAnsi="宋体" w:cs="宋体"/>
                <w:bCs/>
                <w:color w:val="000000"/>
                <w:szCs w:val="21"/>
                <w:highlight w:val="none"/>
                <w:lang w:val="en-US" w:eastAsia="zh-CN"/>
              </w:rPr>
              <w:t xml:space="preserve">1.5</w:t>
            </w:r>
            <w:r>
              <w:rPr>
                <w:rFonts w:hint="eastAsia" w:ascii="宋体" w:hAnsi="宋体" w:cs="宋体"/>
                <w:bCs/>
                <w:color w:val="000000"/>
                <w:szCs w:val="21"/>
                <w:highlight w:val="none"/>
              </w:rPr>
              <w:t xml:space="preserve">分，本项最高得</w:t>
            </w:r>
            <w:r>
              <w:rPr>
                <w:rFonts w:hint="eastAsia" w:ascii="宋体" w:hAnsi="宋体" w:cs="宋体"/>
                <w:bCs/>
                <w:color w:val="000000"/>
                <w:szCs w:val="21"/>
                <w:highlight w:val="none"/>
                <w:lang w:val="en-US" w:eastAsia="zh-CN"/>
              </w:rPr>
              <w:t xml:space="preserve">4.5</w:t>
            </w:r>
            <w:r>
              <w:rPr>
                <w:rFonts w:hint="eastAsia" w:ascii="宋体" w:hAnsi="宋体" w:cs="宋体"/>
                <w:bCs/>
                <w:color w:val="000000"/>
                <w:szCs w:val="21"/>
                <w:highlight w:val="none"/>
              </w:rPr>
              <w:t xml:space="preserve">分。</w:t>
            </w:r>
            <w:r>
              <w:rPr>
                <w:color w:val="000000"/>
                <w:highlight w:val="none"/>
              </w:rPr>
            </w:r>
            <w:r/>
          </w:p>
        </w:tc>
        <w:tc>
          <w:tcPr>
            <w:tcMar>
              <w:left w:w="108" w:type="dxa"/>
              <w:top w:w="0" w:type="dxa"/>
              <w:right w:w="108" w:type="dxa"/>
              <w:bottom w:w="0" w:type="dxa"/>
            </w:tcMar>
            <w:tcW w:w="334"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4.5</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提供自有设备的购置发票及机动车登记证(或行驶证)，购置发票上购置方必须为投标单位，否则不得分。</w:t>
            </w:r>
            <w:r>
              <w:rPr>
                <w:rFonts w:hint="eastAsia" w:ascii="宋体" w:hAnsi="宋体" w:cs="宋体"/>
                <w:color w:val="000000"/>
                <w:szCs w:val="21"/>
                <w:highlight w:val="none"/>
              </w:rPr>
            </w:r>
            <w:r/>
          </w:p>
        </w:tc>
      </w:tr>
      <w:tr>
        <w:trPr>
          <w:cantSplit/>
          <w:trHeight w:val="1096"/>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3.3</w:t>
            </w:r>
            <w:r>
              <w:rPr>
                <w:rFonts w:hint="eastAsia" w:ascii="宋体" w:hAnsi="宋体" w:cs="宋体"/>
                <w:bCs/>
                <w:color w:val="000000"/>
                <w:szCs w:val="21"/>
                <w:highlight w:val="none"/>
              </w:rPr>
            </w:r>
            <w:r/>
          </w:p>
        </w:tc>
        <w:tc>
          <w:tcPr>
            <w:tcMar>
              <w:left w:w="108" w:type="dxa"/>
              <w:top w:w="0" w:type="dxa"/>
              <w:right w:w="108" w:type="dxa"/>
              <w:bottom w:w="0" w:type="dxa"/>
            </w:tcMar>
            <w:tcW w:w="2625" w:type="dxa"/>
            <w:vAlign w:val="center"/>
            <w:textDirection w:val="lrTb"/>
            <w:noWrap w:val="false"/>
          </w:tcPr>
          <w:p>
            <w:pPr>
              <w:pStyle w:val="1023"/>
              <w:rPr>
                <w:rFonts w:hint="eastAsia" w:ascii="宋体" w:hAnsi="宋体" w:cs="宋体"/>
                <w:color w:val="000000"/>
                <w:szCs w:val="21"/>
                <w:highlight w:val="none"/>
              </w:rPr>
            </w:pPr>
            <w:r>
              <w:rPr>
                <w:rFonts w:hint="eastAsia" w:ascii="宋体" w:hAnsi="宋体" w:cs="宋体"/>
                <w:b/>
                <w:bCs/>
                <w:color w:val="000000"/>
                <w:szCs w:val="21"/>
                <w:highlight w:val="none"/>
              </w:rPr>
              <w:t xml:space="preserve">养护服务通用设备2：</w:t>
            </w:r>
            <w:r>
              <w:rPr>
                <w:rFonts w:hint="eastAsia" w:ascii="宋体" w:hAnsi="宋体" w:cs="宋体"/>
                <w:bCs/>
                <w:color w:val="000000"/>
                <w:szCs w:val="21"/>
                <w:highlight w:val="none"/>
              </w:rPr>
              <w:t xml:space="preserve">投标单位自有摊铺机、压路机，有一</w:t>
            </w:r>
            <w:r>
              <w:rPr>
                <w:rFonts w:hint="eastAsia" w:ascii="宋体" w:hAnsi="宋体" w:cs="宋体"/>
                <w:bCs/>
                <w:color w:val="000000"/>
                <w:szCs w:val="21"/>
                <w:highlight w:val="none"/>
                <w:lang w:eastAsia="zh-CN"/>
              </w:rPr>
              <w:t xml:space="preserve">项</w:t>
            </w:r>
            <w:r>
              <w:rPr>
                <w:rFonts w:hint="eastAsia" w:ascii="宋体" w:hAnsi="宋体" w:cs="宋体"/>
                <w:bCs/>
                <w:color w:val="000000"/>
                <w:szCs w:val="21"/>
                <w:highlight w:val="none"/>
              </w:rPr>
              <w:t xml:space="preserve">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hint="eastAsia" w:ascii="宋体" w:hAnsi="宋体" w:cs="宋体"/>
                <w:bCs/>
                <w:color w:val="000000"/>
                <w:szCs w:val="21"/>
                <w:highlight w:val="none"/>
                <w:lang w:eastAsia="zh-CN"/>
              </w:rPr>
              <w:t xml:space="preserve">本项</w:t>
            </w:r>
            <w:r>
              <w:rPr>
                <w:rFonts w:hint="eastAsia" w:ascii="宋体" w:hAnsi="宋体" w:cs="宋体"/>
                <w:bCs/>
                <w:color w:val="000000"/>
                <w:szCs w:val="21"/>
                <w:highlight w:val="none"/>
              </w:rPr>
              <w:t xml:space="preserve">最高得</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ascii="宋体" w:hAnsi="宋体" w:cs="宋体"/>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提供自有设备的购置发票，购置发票上购置方必须为投标单位，否则不得分。</w:t>
            </w:r>
            <w:r>
              <w:rPr>
                <w:rFonts w:hint="eastAsia" w:ascii="宋体" w:hAnsi="宋体" w:cs="宋体"/>
                <w:color w:val="000000"/>
                <w:szCs w:val="21"/>
                <w:highlight w:val="none"/>
              </w:rPr>
            </w:r>
            <w:r/>
          </w:p>
        </w:tc>
      </w:tr>
      <w:tr>
        <w:trPr>
          <w:cantSplit/>
          <w:trHeight w:val="1096"/>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 w:val="21"/>
                <w:szCs w:val="21"/>
                <w:highlight w:val="none"/>
                <w:lang w:val="en-US" w:eastAsia="zh-CN" w:bidi="ar-SA"/>
              </w:rPr>
            </w:pPr>
            <w:r>
              <w:rPr>
                <w:rFonts w:hint="eastAsia" w:ascii="宋体" w:hAnsi="宋体" w:cs="宋体"/>
                <w:bCs/>
                <w:color w:val="000000"/>
                <w:szCs w:val="21"/>
                <w:highlight w:val="none"/>
              </w:rPr>
              <w:t xml:space="preserve">3.4</w:t>
            </w:r>
            <w:r>
              <w:rPr>
                <w:rFonts w:hint="eastAsia" w:ascii="宋体" w:hAnsi="宋体" w:cs="宋体"/>
                <w:bCs/>
                <w:color w:val="000000"/>
                <w:sz w:val="21"/>
                <w:szCs w:val="21"/>
                <w:highlight w:val="none"/>
                <w:lang w:val="en-US" w:eastAsia="zh-CN" w:bidi="ar-SA"/>
              </w:rPr>
            </w:r>
            <w:r/>
          </w:p>
        </w:tc>
        <w:tc>
          <w:tcPr>
            <w:tcMar>
              <w:left w:w="108" w:type="dxa"/>
              <w:top w:w="0" w:type="dxa"/>
              <w:right w:w="108" w:type="dxa"/>
              <w:bottom w:w="0" w:type="dxa"/>
            </w:tcMar>
            <w:tcW w:w="2625" w:type="dxa"/>
            <w:vAlign w:val="center"/>
            <w:textDirection w:val="lrTb"/>
            <w:noWrap w:val="false"/>
          </w:tcPr>
          <w:p>
            <w:pPr>
              <w:pStyle w:val="1023"/>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养护服务通用设备</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投标</w:t>
            </w:r>
            <w:r>
              <w:rPr>
                <w:rFonts w:hint="eastAsia" w:ascii="宋体" w:hAnsi="宋体" w:eastAsia="宋体" w:cs="宋体"/>
                <w:bCs/>
                <w:color w:val="000000"/>
                <w:szCs w:val="21"/>
                <w:highlight w:val="none"/>
              </w:rPr>
              <w:t xml:space="preserve">单位自有</w:t>
            </w:r>
            <w:r>
              <w:rPr>
                <w:rFonts w:hint="eastAsia" w:ascii="宋体" w:hAnsi="宋体" w:eastAsia="宋体" w:cs="宋体"/>
                <w:bCs/>
                <w:color w:val="000000"/>
                <w:szCs w:val="21"/>
                <w:highlight w:val="none"/>
                <w:lang w:eastAsia="zh-CN"/>
              </w:rPr>
              <w:t xml:space="preserve">高空作业车</w:t>
            </w:r>
            <w:r>
              <w:rPr>
                <w:rFonts w:hint="eastAsia" w:ascii="宋体" w:hAnsi="宋体" w:eastAsia="宋体" w:cs="宋体"/>
                <w:bCs/>
                <w:color w:val="000000"/>
                <w:szCs w:val="21"/>
                <w:highlight w:val="none"/>
              </w:rPr>
              <w:t xml:space="preserve">，有一</w:t>
            </w:r>
            <w:r>
              <w:rPr>
                <w:rFonts w:hint="eastAsia" w:ascii="宋体" w:hAnsi="宋体" w:eastAsia="宋体" w:cs="宋体"/>
                <w:bCs/>
                <w:color w:val="000000"/>
                <w:szCs w:val="21"/>
                <w:highlight w:val="none"/>
                <w:lang w:eastAsia="zh-CN"/>
              </w:rPr>
              <w:t xml:space="preserve">辆</w:t>
            </w:r>
            <w:r>
              <w:rPr>
                <w:rFonts w:hint="eastAsia" w:ascii="宋体" w:hAnsi="宋体" w:cs="宋体"/>
                <w:bCs/>
                <w:color w:val="000000"/>
                <w:szCs w:val="21"/>
                <w:highlight w:val="none"/>
              </w:rPr>
              <w:t xml:space="preserve">得</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分，本项最高得</w:t>
            </w:r>
            <w:r>
              <w:rPr>
                <w:rFonts w:hint="eastAsia" w:ascii="宋体" w:hAnsi="宋体" w:cs="宋体"/>
                <w:bCs/>
                <w:color w:val="000000"/>
                <w:szCs w:val="21"/>
                <w:highlight w:val="none"/>
                <w:lang w:val="en-US" w:eastAsia="zh-CN"/>
              </w:rPr>
              <w:t xml:space="preserve">5</w:t>
            </w:r>
            <w:r>
              <w:rPr>
                <w:rFonts w:hint="eastAsia" w:ascii="宋体" w:hAnsi="宋体" w:cs="宋体"/>
                <w:bCs/>
                <w:color w:val="000000"/>
                <w:szCs w:val="21"/>
                <w:highlight w:val="none"/>
              </w:rPr>
              <w:t xml:space="preserve">分。</w:t>
            </w:r>
            <w:r>
              <w:rPr>
                <w:rFonts w:hint="eastAsia" w:ascii="宋体" w:hAnsi="宋体" w:cs="宋体"/>
                <w:b/>
                <w:bCs/>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5</w:t>
            </w:r>
            <w:r>
              <w:rPr>
                <w:rFonts w:ascii="宋体" w:hAnsi="宋体" w:cs="宋体"/>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提供自有设备的购置发票及机动车登记证(或行驶证)，购置发票上购置方必须为投标单位，否则不得分。</w:t>
            </w:r>
            <w:r>
              <w:rPr>
                <w:rFonts w:hint="eastAsia" w:ascii="宋体" w:hAnsi="宋体" w:cs="宋体"/>
                <w:bCs/>
                <w:color w:val="000000"/>
                <w:szCs w:val="21"/>
                <w:highlight w:val="none"/>
              </w:rPr>
            </w:r>
            <w:r/>
          </w:p>
        </w:tc>
      </w:tr>
      <w:tr>
        <w:trPr>
          <w:cantSplit/>
          <w:trHeight w:val="984"/>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cs="宋体"/>
                <w:bCs/>
                <w:color w:val="000000"/>
                <w:sz w:val="21"/>
                <w:szCs w:val="21"/>
                <w:highlight w:val="none"/>
                <w:lang w:val="en-US" w:eastAsia="zh-CN" w:bidi="ar-SA"/>
              </w:rPr>
            </w:pPr>
            <w:r>
              <w:rPr>
                <w:rFonts w:hint="eastAsia" w:ascii="宋体" w:hAnsi="宋体" w:cs="宋体"/>
                <w:bCs/>
                <w:color w:val="000000"/>
                <w:szCs w:val="21"/>
                <w:highlight w:val="none"/>
              </w:rPr>
              <w:t xml:space="preserve">3.5</w:t>
            </w:r>
            <w:r>
              <w:rPr>
                <w:rFonts w:hint="eastAsia" w:ascii="宋体" w:hAnsi="宋体" w:cs="宋体"/>
                <w:bCs/>
                <w:color w:val="000000"/>
                <w:sz w:val="21"/>
                <w:szCs w:val="21"/>
                <w:highlight w:val="none"/>
                <w:lang w:val="en-US" w:eastAsia="zh-CN" w:bidi="ar-SA"/>
              </w:rPr>
            </w:r>
            <w:r/>
          </w:p>
        </w:tc>
        <w:tc>
          <w:tcPr>
            <w:tcMar>
              <w:left w:w="108" w:type="dxa"/>
              <w:top w:w="0" w:type="dxa"/>
              <w:right w:w="108" w:type="dxa"/>
              <w:bottom w:w="0" w:type="dxa"/>
            </w:tcMar>
            <w:tcW w:w="2625" w:type="dxa"/>
            <w:vAlign w:val="center"/>
            <w:textDirection w:val="lrTb"/>
            <w:noWrap w:val="false"/>
          </w:tcPr>
          <w:p>
            <w:pPr>
              <w:pStyle w:val="1023"/>
              <w:jc w:val="left"/>
              <w:widowControl/>
              <w:rPr>
                <w:rFonts w:hint="eastAsia"/>
                <w:color w:val="000000"/>
                <w:sz w:val="21"/>
                <w:szCs w:val="24"/>
                <w:highlight w:val="none"/>
                <w:lang w:val="en-US" w:eastAsia="zh-CN" w:bidi="ar-SA"/>
              </w:rPr>
            </w:pPr>
            <w:r>
              <w:rPr>
                <w:rFonts w:hint="eastAsia" w:ascii="宋体" w:hAnsi="宋体" w:cs="宋体"/>
                <w:b/>
                <w:bCs/>
                <w:color w:val="000000"/>
                <w:szCs w:val="21"/>
                <w:highlight w:val="none"/>
              </w:rPr>
              <w:t xml:space="preserve">养护服务专用和特殊设备</w:t>
            </w:r>
            <w:r>
              <w:rPr>
                <w:rFonts w:hint="eastAsia" w:ascii="宋体" w:hAnsi="宋体" w:cs="宋体"/>
                <w:b/>
                <w:bCs/>
                <w:color w:val="000000"/>
                <w:szCs w:val="21"/>
                <w:highlight w:val="none"/>
                <w:lang w:val="en-US" w:eastAsia="zh-CN"/>
              </w:rPr>
              <w:t xml:space="preserve">1</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投标单位自有铣刨机、铲雪板</w:t>
            </w:r>
            <w:r>
              <w:rPr>
                <w:rFonts w:hint="eastAsia" w:ascii="宋体" w:hAnsi="宋体" w:cs="宋体"/>
                <w:bCs/>
                <w:color w:val="000000"/>
                <w:szCs w:val="21"/>
                <w:highlight w:val="none"/>
                <w:lang w:eastAsia="zh-CN"/>
              </w:rPr>
              <w:t xml:space="preserve">，有一项</w:t>
            </w:r>
            <w:r>
              <w:rPr>
                <w:rFonts w:hint="eastAsia" w:ascii="宋体" w:hAnsi="宋体" w:cs="宋体"/>
                <w:bCs/>
                <w:color w:val="000000"/>
                <w:szCs w:val="21"/>
                <w:highlight w:val="none"/>
              </w:rPr>
              <w:t xml:space="preserve">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分，本项最高得</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color w:val="000000"/>
                <w:sz w:val="21"/>
                <w:szCs w:val="24"/>
                <w:highlight w:val="none"/>
                <w:lang w:val="en-US" w:eastAsia="zh-CN" w:bidi="ar-SA"/>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4</w:t>
            </w:r>
            <w:r>
              <w:rPr>
                <w:rFonts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color w:val="000000"/>
                <w:sz w:val="21"/>
                <w:szCs w:val="24"/>
                <w:highlight w:val="none"/>
                <w:lang w:val="en-US" w:eastAsia="zh-CN" w:bidi="ar-SA"/>
              </w:rPr>
            </w:pPr>
            <w:r>
              <w:rPr>
                <w:rFonts w:hint="eastAsia" w:ascii="宋体" w:hAnsi="宋体" w:cs="宋体"/>
                <w:bCs/>
                <w:color w:val="000000"/>
                <w:szCs w:val="21"/>
                <w:highlight w:val="none"/>
              </w:rPr>
              <w:t xml:space="preserve">提供自有设备的购置发票，购置发票上购置方必须为投标单位，否则不得分。</w:t>
            </w:r>
            <w:r>
              <w:rPr>
                <w:rFonts w:hint="eastAsia"/>
                <w:color w:val="000000"/>
                <w:sz w:val="21"/>
                <w:szCs w:val="24"/>
                <w:highlight w:val="none"/>
                <w:lang w:val="en-US" w:eastAsia="zh-CN" w:bidi="ar-SA"/>
              </w:rPr>
            </w:r>
            <w:r/>
          </w:p>
        </w:tc>
      </w:tr>
      <w:tr>
        <w:trPr>
          <w:cantSplit/>
          <w:trHeight w:val="894"/>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lang w:val="en-US" w:eastAsia="zh-CN"/>
              </w:rPr>
              <w:t xml:space="preserve">3.6</w:t>
            </w:r>
            <w:r>
              <w:rPr>
                <w:rFonts w:hint="eastAsia" w:ascii="宋体" w:hAnsi="宋体" w:eastAsia="宋体" w:cs="宋体"/>
                <w:bCs/>
                <w:color w:val="000000"/>
                <w:sz w:val="21"/>
                <w:szCs w:val="21"/>
                <w:highlight w:val="none"/>
                <w:lang w:val="en-US" w:eastAsia="zh-CN" w:bidi="ar-SA"/>
              </w:rPr>
            </w:r>
            <w:r/>
          </w:p>
        </w:tc>
        <w:tc>
          <w:tcPr>
            <w:tcMar>
              <w:left w:w="108" w:type="dxa"/>
              <w:top w:w="0" w:type="dxa"/>
              <w:right w:w="108" w:type="dxa"/>
              <w:bottom w:w="0" w:type="dxa"/>
            </w:tcMar>
            <w:tcW w:w="2625" w:type="dxa"/>
            <w:vAlign w:val="center"/>
            <w:textDirection w:val="lrTb"/>
            <w:noWrap w:val="false"/>
          </w:tcPr>
          <w:p>
            <w:pPr>
              <w:pStyle w:val="1023"/>
              <w:jc w:val="left"/>
              <w:widowControl/>
              <w:rPr>
                <w:rFonts w:hint="eastAsia" w:ascii="宋体" w:hAnsi="宋体" w:cs="宋体"/>
                <w:color w:val="000000"/>
                <w:sz w:val="21"/>
                <w:szCs w:val="21"/>
                <w:highlight w:val="none"/>
                <w:lang w:val="en-US" w:eastAsia="zh-CN" w:bidi="ar-SA"/>
              </w:rPr>
            </w:pPr>
            <w:r>
              <w:rPr>
                <w:rFonts w:hint="eastAsia" w:ascii="宋体" w:hAnsi="宋体" w:cs="宋体"/>
                <w:b/>
                <w:bCs/>
                <w:color w:val="000000"/>
                <w:szCs w:val="21"/>
                <w:highlight w:val="none"/>
              </w:rPr>
              <w:t xml:space="preserve">养护服务专用和特殊设备</w:t>
            </w:r>
            <w:r>
              <w:rPr>
                <w:rFonts w:hint="eastAsia" w:ascii="宋体" w:hAnsi="宋体" w:cs="宋体"/>
                <w:b/>
                <w:bCs/>
                <w:color w:val="000000"/>
                <w:szCs w:val="21"/>
                <w:highlight w:val="none"/>
                <w:lang w:val="en-US" w:eastAsia="zh-CN"/>
              </w:rPr>
              <w:t xml:space="preserve">2</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投标单位自有100kw以上发电机、毒气检测设备(四合一气体检测仪)</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潜望镜</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有一项得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分，本项最高得</w:t>
            </w:r>
            <w:r>
              <w:rPr>
                <w:rFonts w:hint="eastAsia" w:ascii="宋体" w:hAnsi="宋体" w:cs="宋体"/>
                <w:bCs/>
                <w:color w:val="000000"/>
                <w:szCs w:val="21"/>
                <w:highlight w:val="none"/>
                <w:lang w:val="en-US" w:eastAsia="zh-CN"/>
              </w:rPr>
              <w:t xml:space="preserve">6</w:t>
            </w:r>
            <w:r>
              <w:rPr>
                <w:rFonts w:hint="eastAsia" w:ascii="宋体" w:hAnsi="宋体" w:cs="宋体"/>
                <w:bCs/>
                <w:color w:val="000000"/>
                <w:szCs w:val="21"/>
                <w:highlight w:val="none"/>
              </w:rPr>
              <w:t xml:space="preserve">分。</w:t>
            </w:r>
            <w:r>
              <w:rPr>
                <w:rFonts w:hint="eastAsia" w:ascii="宋体" w:hAnsi="宋体" w:cs="宋体"/>
                <w:color w:val="000000"/>
                <w:sz w:val="21"/>
                <w:szCs w:val="21"/>
                <w:highlight w:val="none"/>
                <w:lang w:val="en-US" w:eastAsia="zh-CN" w:bidi="ar-SA"/>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 w:val="21"/>
                <w:szCs w:val="21"/>
                <w:highlight w:val="none"/>
                <w:lang w:val="en-US" w:eastAsia="zh-CN" w:bidi="ar-SA"/>
              </w:rPr>
            </w:pPr>
            <w:r>
              <w:rPr>
                <w:rFonts w:hint="eastAsia" w:ascii="宋体" w:hAnsi="宋体" w:cs="宋体"/>
                <w:bCs/>
                <w:color w:val="000000"/>
                <w:szCs w:val="21"/>
                <w:highlight w:val="none"/>
              </w:rPr>
              <w:t xml:space="preserve">提供自有设备的购置发票，购置发票上购置方必须为投标单位，否则不得分。</w:t>
            </w:r>
            <w:r>
              <w:rPr>
                <w:rFonts w:hint="eastAsia" w:ascii="宋体" w:hAnsi="宋体" w:cs="宋体"/>
                <w:color w:val="000000"/>
                <w:sz w:val="21"/>
                <w:szCs w:val="21"/>
                <w:highlight w:val="none"/>
                <w:lang w:val="en-US" w:eastAsia="zh-CN" w:bidi="ar-SA"/>
              </w:rPr>
            </w:r>
            <w:r/>
          </w:p>
        </w:tc>
      </w:tr>
      <w:tr>
        <w:trPr>
          <w:cantSplit/>
          <w:trHeight w:val="1167"/>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 w:val="21"/>
                <w:szCs w:val="21"/>
                <w:highlight w:val="none"/>
                <w:lang w:val="en-US" w:eastAsia="zh-CN" w:bidi="ar-SA"/>
              </w:rPr>
            </w:pPr>
            <w:r>
              <w:rPr>
                <w:rFonts w:hint="eastAsia" w:ascii="宋体" w:hAnsi="宋体" w:cs="宋体"/>
                <w:bCs/>
                <w:color w:val="000000"/>
                <w:szCs w:val="21"/>
                <w:highlight w:val="none"/>
                <w:lang w:val="en-US" w:eastAsia="zh-CN"/>
              </w:rPr>
              <w:t xml:space="preserve">3.7</w:t>
            </w:r>
            <w:r>
              <w:rPr>
                <w:rFonts w:ascii="宋体" w:hAnsi="宋体" w:eastAsia="宋体" w:cs="宋体"/>
                <w:bCs/>
                <w:color w:val="000000"/>
                <w:sz w:val="21"/>
                <w:szCs w:val="21"/>
                <w:highlight w:val="none"/>
                <w:lang w:val="en-US" w:eastAsia="zh-CN" w:bidi="ar-SA"/>
              </w:rPr>
            </w:r>
            <w:r/>
          </w:p>
        </w:tc>
        <w:tc>
          <w:tcPr>
            <w:tcMar>
              <w:left w:w="108" w:type="dxa"/>
              <w:top w:w="0" w:type="dxa"/>
              <w:right w:w="108" w:type="dxa"/>
              <w:bottom w:w="0" w:type="dxa"/>
            </w:tcMar>
            <w:tcW w:w="2625" w:type="dxa"/>
            <w:vAlign w:val="center"/>
            <w:textDirection w:val="lrTb"/>
            <w:noWrap w:val="false"/>
          </w:tcPr>
          <w:p>
            <w:pPr>
              <w:pStyle w:val="102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养护服务专用和特殊设备</w:t>
            </w:r>
            <w:r>
              <w:rPr>
                <w:rFonts w:ascii="宋体" w:hAnsi="宋体" w:cs="宋体"/>
                <w:b/>
                <w:bCs/>
                <w:color w:val="000000"/>
                <w:szCs w:val="21"/>
                <w:highlight w:val="none"/>
              </w:rPr>
              <w:t xml:space="preserve">3</w:t>
            </w:r>
            <w:r>
              <w:rPr>
                <w:rFonts w:hint="eastAsia" w:ascii="宋体" w:hAnsi="宋体" w:cs="宋体"/>
                <w:b/>
                <w:bCs/>
                <w:color w:val="000000"/>
                <w:szCs w:val="21"/>
                <w:highlight w:val="none"/>
              </w:rPr>
              <w:t xml:space="preserve">：</w:t>
            </w:r>
            <w:r>
              <w:rPr>
                <w:rFonts w:hint="eastAsia" w:ascii="宋体" w:hAnsi="宋体" w:cs="宋体"/>
                <w:bCs/>
                <w:color w:val="000000"/>
                <w:szCs w:val="21"/>
                <w:highlight w:val="none"/>
              </w:rPr>
              <w:t xml:space="preserve">投标单位自有</w:t>
            </w:r>
            <w:r>
              <w:rPr>
                <w:rFonts w:hint="eastAsia" w:ascii="宋体" w:hAnsi="宋体" w:cs="宋体"/>
                <w:color w:val="000000"/>
                <w:szCs w:val="21"/>
                <w:highlight w:val="none"/>
              </w:rPr>
              <w:t xml:space="preserve">CCTV视频检测设备，</w:t>
            </w:r>
            <w:r>
              <w:rPr>
                <w:rFonts w:hint="eastAsia" w:ascii="宋体" w:hAnsi="宋体" w:cs="宋体"/>
                <w:bCs/>
                <w:color w:val="000000"/>
                <w:szCs w:val="21"/>
                <w:highlight w:val="none"/>
              </w:rPr>
              <w:t xml:space="preserve">每提供一套得</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lang w:eastAsia="zh-CN"/>
              </w:rPr>
              <w:t xml:space="preserve">分，本项</w:t>
            </w:r>
            <w:r>
              <w:rPr>
                <w:rFonts w:hint="eastAsia" w:ascii="宋体" w:hAnsi="宋体" w:cs="宋体"/>
                <w:bCs/>
                <w:color w:val="000000"/>
                <w:szCs w:val="21"/>
                <w:highlight w:val="none"/>
              </w:rPr>
              <w:t xml:space="preserve">最高得</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分。</w:t>
            </w:r>
            <w:r>
              <w:rPr>
                <w:rFonts w:hint="eastAsia" w:ascii="宋体" w:hAnsi="宋体" w:cs="宋体"/>
                <w:b/>
                <w:bCs/>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widowControl/>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1649"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bCs/>
                <w:color w:val="000000"/>
                <w:szCs w:val="21"/>
                <w:highlight w:val="none"/>
              </w:rPr>
              <w:t xml:space="preserve">提供自有设备的购置发票，购置发票上购置方必须为投标单位，否则不得分。</w:t>
            </w:r>
            <w:r>
              <w:rPr>
                <w:rFonts w:hint="eastAsia" w:ascii="宋体" w:hAnsi="宋体" w:cs="宋体"/>
                <w:color w:val="000000"/>
                <w:szCs w:val="21"/>
                <w:highlight w:val="none"/>
              </w:rPr>
            </w:r>
            <w:r/>
          </w:p>
        </w:tc>
      </w:tr>
      <w:tr>
        <w:trPr>
          <w:cantSplit/>
          <w:trHeight w:val="2120"/>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lang w:val="en-US" w:eastAsia="zh-CN"/>
              </w:rPr>
              <w:t xml:space="preserve">8</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2625" w:type="dxa"/>
            <w:vAlign w:val="center"/>
            <w:textDirection w:val="lrTb"/>
            <w:noWrap w:val="false"/>
          </w:tcPr>
          <w:p>
            <w:pPr>
              <w:pStyle w:val="1023"/>
              <w:rPr>
                <w:rFonts w:hint="eastAsia"/>
                <w:b/>
                <w:bCs/>
                <w:color w:val="000000"/>
                <w:highlight w:val="none"/>
              </w:rPr>
            </w:pPr>
            <w:r>
              <w:rPr>
                <w:rFonts w:hint="eastAsia"/>
                <w:b/>
                <w:bCs/>
                <w:color w:val="000000"/>
                <w:highlight w:val="none"/>
              </w:rPr>
              <w:t xml:space="preserve">养护服务专用和特殊设备</w:t>
            </w:r>
            <w:r>
              <w:rPr>
                <w:b/>
                <w:bCs/>
                <w:color w:val="000000"/>
                <w:highlight w:val="none"/>
              </w:rPr>
              <w:t xml:space="preserve">4</w:t>
            </w:r>
            <w:r>
              <w:rPr>
                <w:rFonts w:hint="eastAsia"/>
                <w:b/>
                <w:bCs/>
                <w:color w:val="000000"/>
                <w:highlight w:val="none"/>
              </w:rPr>
              <w:t xml:space="preserve">：</w:t>
            </w:r>
            <w:r>
              <w:rPr>
                <w:rFonts w:hint="eastAsia"/>
                <w:b/>
                <w:bCs/>
                <w:color w:val="000000"/>
                <w:highlight w:val="none"/>
              </w:rPr>
            </w:r>
            <w:r/>
          </w:p>
          <w:p>
            <w:pPr>
              <w:pStyle w:val="1023"/>
              <w:rPr>
                <w:rFonts w:hint="eastAsia" w:ascii="Times New Roman" w:hAnsi="Times New Roman" w:eastAsia="宋体" w:cs="Times New Roman"/>
                <w:color w:val="000000"/>
                <w:highlight w:val="none"/>
              </w:rPr>
            </w:pPr>
            <w:r>
              <w:rPr>
                <w:rFonts w:hint="eastAsia"/>
                <w:color w:val="000000"/>
                <w:highlight w:val="none"/>
              </w:rPr>
              <w:t xml:space="preserve">投标单位自有或租赁沥青拌和楼，沥青拌和楼与本</w:t>
            </w:r>
            <w:r>
              <w:rPr>
                <w:rFonts w:hint="eastAsia"/>
                <w:color w:val="000000"/>
                <w:highlight w:val="none"/>
                <w:lang w:eastAsia="zh-CN"/>
              </w:rPr>
              <w:t xml:space="preserve">项目</w:t>
            </w:r>
            <w:r>
              <w:rPr>
                <w:rFonts w:hint="eastAsia" w:ascii="Times New Roman" w:hAnsi="Times New Roman" w:eastAsia="宋体" w:cs="Times New Roman"/>
                <w:color w:val="000000"/>
                <w:highlight w:val="none"/>
              </w:rPr>
              <w:t xml:space="preserve">养护区域基准点</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武进大道与武宜南路交汇处</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rPr>
              <w:t xml:space="preserve">距离</w:t>
            </w:r>
            <w:r>
              <w:rPr>
                <w:rFonts w:hint="eastAsia" w:ascii="Times New Roman" w:hAnsi="Times New Roman" w:eastAsia="宋体" w:cs="Times New Roman"/>
                <w:color w:val="000000"/>
                <w:highlight w:val="none"/>
              </w:rPr>
              <w:t xml:space="preserve">（必须有车辆可通行的道路可到达的最短距离）：</w:t>
            </w:r>
            <w:r>
              <w:rPr>
                <w:rFonts w:hint="eastAsia" w:ascii="Times New Roman" w:hAnsi="Times New Roman" w:eastAsia="宋体" w:cs="Times New Roman"/>
                <w:color w:val="000000"/>
                <w:highlight w:val="none"/>
              </w:rPr>
            </w:r>
            <w:r/>
          </w:p>
          <w:p>
            <w:pPr>
              <w:pStyle w:val="1023"/>
              <w:rPr>
                <w:rFonts w:hint="eastAsia" w:ascii="宋体" w:hAnsi="宋体" w:eastAsia="宋体" w:cs="宋体"/>
                <w:color w:val="000000"/>
                <w:highlight w:val="none"/>
              </w:rPr>
            </w:pPr>
            <w:r>
              <w:rPr>
                <w:rFonts w:hint="eastAsia" w:ascii="Times New Roman" w:hAnsi="Times New Roman" w:eastAsia="宋体" w:cs="Times New Roman"/>
                <w:color w:val="000000"/>
                <w:highlight w:val="none"/>
              </w:rPr>
              <w:t xml:space="preserve">小</w:t>
            </w:r>
            <w:r>
              <w:rPr>
                <w:rFonts w:hint="eastAsia" w:ascii="宋体" w:hAnsi="宋体" w:eastAsia="宋体" w:cs="宋体"/>
                <w:color w:val="000000"/>
                <w:highlight w:val="none"/>
              </w:rPr>
              <w:t xml:space="preserve">于10km得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23"/>
              <w:rPr>
                <w:rFonts w:hint="eastAsia" w:ascii="宋体" w:hAnsi="宋体" w:eastAsia="宋体" w:cs="宋体"/>
                <w:color w:val="000000"/>
                <w:highlight w:val="none"/>
              </w:rPr>
            </w:pPr>
            <w:r>
              <w:rPr>
                <w:rFonts w:hint="eastAsia" w:ascii="宋体" w:hAnsi="宋体" w:eastAsia="宋体" w:cs="宋体"/>
                <w:color w:val="000000"/>
                <w:highlight w:val="none"/>
              </w:rPr>
              <w:t xml:space="preserve">10km(包含10km)---15km（不包含15km）得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23"/>
              <w:rPr>
                <w:rFonts w:hint="eastAsia" w:ascii="宋体" w:hAnsi="宋体" w:eastAsia="宋体" w:cs="宋体"/>
                <w:color w:val="000000"/>
                <w:highlight w:val="none"/>
              </w:rPr>
            </w:pPr>
            <w:r>
              <w:rPr>
                <w:rFonts w:hint="eastAsia" w:ascii="宋体" w:hAnsi="宋体" w:eastAsia="宋体" w:cs="宋体"/>
                <w:color w:val="000000"/>
                <w:highlight w:val="none"/>
              </w:rPr>
              <w:t xml:space="preserve">15km(包含15km)---20km（不包含20km）得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1023"/>
              <w:rPr>
                <w:rFonts w:hint="eastAsia" w:ascii="宋体" w:hAnsi="宋体" w:cs="宋体"/>
                <w:color w:val="000000"/>
                <w:highlight w:val="none"/>
              </w:rPr>
            </w:pPr>
            <w:r>
              <w:rPr>
                <w:rFonts w:hint="eastAsia" w:ascii="宋体" w:hAnsi="宋体" w:eastAsia="宋体" w:cs="宋体"/>
                <w:color w:val="000000"/>
                <w:highlight w:val="none"/>
              </w:rPr>
              <w:t xml:space="preserve">超过20km，该项不得分。</w:t>
            </w:r>
            <w:r>
              <w:rPr>
                <w:rFonts w:hint="eastAsia" w:ascii="宋体" w:hAnsi="宋体" w:cs="宋体"/>
                <w:color w:val="000000"/>
                <w:highlight w:val="none"/>
              </w:rPr>
            </w:r>
            <w:r/>
          </w:p>
        </w:tc>
        <w:tc>
          <w:tcPr>
            <w:tcMar>
              <w:left w:w="108" w:type="dxa"/>
              <w:top w:w="0" w:type="dxa"/>
              <w:right w:w="108" w:type="dxa"/>
              <w:bottom w:w="0" w:type="dxa"/>
            </w:tcMar>
            <w:tcW w:w="334" w:type="dxa"/>
            <w:vAlign w:val="center"/>
            <w:textDirection w:val="lrTb"/>
            <w:noWrap w:val="false"/>
          </w:tcPr>
          <w:p>
            <w:pPr>
              <w:pStyle w:val="1023"/>
              <w:jc w:val="center"/>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1649" w:type="dxa"/>
            <w:vAlign w:val="center"/>
            <w:textDirection w:val="lrTb"/>
            <w:noWrap w:val="false"/>
          </w:tcPr>
          <w:p>
            <w:pPr>
              <w:pStyle w:val="1023"/>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1、提供沥青拌合楼购置发票（购置发票上购置方必须为投标单位）或租赁合同。</w:t>
            </w:r>
            <w:r>
              <w:rPr>
                <w:rFonts w:hint="eastAsia" w:ascii="宋体" w:hAnsi="宋体" w:cs="宋体"/>
                <w:bCs/>
                <w:color w:val="000000"/>
                <w:szCs w:val="21"/>
                <w:highlight w:val="none"/>
              </w:rPr>
            </w:r>
            <w:r/>
          </w:p>
          <w:p>
            <w:pPr>
              <w:pStyle w:val="1023"/>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2、沥青拌合楼所在地的证明材料 (提供不动产证明或租赁合同)。</w:t>
            </w:r>
            <w:r>
              <w:rPr>
                <w:rFonts w:hint="eastAsia" w:ascii="宋体" w:hAnsi="宋体" w:cs="宋体"/>
                <w:bCs/>
                <w:color w:val="000000"/>
                <w:szCs w:val="21"/>
                <w:highlight w:val="none"/>
              </w:rPr>
            </w:r>
            <w:r/>
          </w:p>
          <w:p>
            <w:pPr>
              <w:pStyle w:val="1023"/>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3、沥青拌和楼与本次招标养护区域任意一点之间的百度地图距离截图打印凭证。</w:t>
            </w:r>
            <w:r>
              <w:rPr>
                <w:rFonts w:hint="eastAsia" w:ascii="宋体" w:hAnsi="宋体" w:cs="宋体"/>
                <w:bCs/>
                <w:color w:val="000000"/>
                <w:szCs w:val="21"/>
                <w:highlight w:val="none"/>
              </w:rPr>
            </w:r>
            <w:r/>
          </w:p>
          <w:p>
            <w:pPr>
              <w:pStyle w:val="1023"/>
              <w:spacing w:line="320" w:lineRule="exact"/>
              <w:rPr>
                <w:rFonts w:hint="eastAsia" w:ascii="宋体" w:hAnsi="宋体" w:cs="宋体"/>
                <w:color w:val="000000"/>
                <w:szCs w:val="21"/>
                <w:highlight w:val="none"/>
              </w:rPr>
            </w:pPr>
            <w:r>
              <w:rPr>
                <w:rFonts w:hint="eastAsia" w:ascii="宋体" w:hAnsi="宋体" w:cs="宋体"/>
                <w:bCs/>
                <w:color w:val="000000"/>
                <w:szCs w:val="21"/>
                <w:highlight w:val="none"/>
              </w:rPr>
              <w:t xml:space="preserve">4、养护区域图详见采购需求。</w:t>
            </w:r>
            <w:r>
              <w:rPr>
                <w:rFonts w:hint="eastAsia" w:ascii="宋体" w:hAnsi="宋体" w:cs="宋体"/>
                <w:color w:val="000000"/>
                <w:szCs w:val="21"/>
                <w:highlight w:val="none"/>
              </w:rPr>
            </w:r>
            <w:r/>
          </w:p>
        </w:tc>
      </w:tr>
      <w:tr>
        <w:trPr>
          <w:cantSplit/>
          <w:trHeight w:val="1793"/>
        </w:trPr>
        <w:tc>
          <w:tcPr>
            <w:tcMar>
              <w:left w:w="108" w:type="dxa"/>
              <w:top w:w="0" w:type="dxa"/>
              <w:right w:w="108" w:type="dxa"/>
              <w:bottom w:w="0" w:type="dxa"/>
            </w:tcMar>
            <w:tcW w:w="391" w:type="dxa"/>
            <w:vAlign w:val="center"/>
            <w:textDirection w:val="lrTb"/>
            <w:noWrap w:val="false"/>
          </w:tcPr>
          <w:p>
            <w:pPr>
              <w:pStyle w:val="1023"/>
              <w:jc w:val="center"/>
              <w:spacing w:before="100" w:beforeAutospacing="1" w:after="100" w:afterAutospacing="1"/>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3.9</w:t>
            </w:r>
            <w:r>
              <w:rPr>
                <w:rFonts w:ascii="宋体" w:hAnsi="宋体" w:eastAsia="宋体" w:cs="宋体"/>
                <w:bCs/>
                <w:color w:val="000000"/>
                <w:szCs w:val="21"/>
                <w:highlight w:val="none"/>
                <w:lang w:val="en-US" w:eastAsia="zh-CN"/>
              </w:rPr>
            </w:r>
            <w:r/>
          </w:p>
        </w:tc>
        <w:tc>
          <w:tcPr>
            <w:tcMar>
              <w:left w:w="108" w:type="dxa"/>
              <w:top w:w="0" w:type="dxa"/>
              <w:right w:w="108" w:type="dxa"/>
              <w:bottom w:w="0" w:type="dxa"/>
            </w:tcMar>
            <w:tcW w:w="2625" w:type="dxa"/>
            <w:vAlign w:val="center"/>
            <w:textDirection w:val="lrTb"/>
            <w:noWrap w:val="false"/>
          </w:tcPr>
          <w:p>
            <w:pPr>
              <w:rPr>
                <w:rFonts w:hint="eastAsia" w:ascii="宋体" w:hAnsi="宋体" w:cs="宋体"/>
                <w:color w:val="000000"/>
                <w:szCs w:val="21"/>
                <w:highlight w:val="none"/>
              </w:rPr>
            </w:pPr>
            <w:r>
              <w:rPr>
                <w:rFonts w:hint="eastAsia"/>
                <w:b/>
                <w:bCs/>
                <w:color w:val="000000"/>
                <w:highlight w:val="none"/>
              </w:rPr>
              <w:t xml:space="preserve">企业业绩：</w:t>
            </w:r>
            <w:r>
              <w:rPr>
                <w:rFonts w:hint="eastAsia" w:ascii="宋体" w:hAnsi="宋体" w:cs="宋体"/>
                <w:color w:val="000000"/>
                <w:szCs w:val="21"/>
                <w:highlight w:val="none"/>
              </w:rPr>
              <w:t xml:space="preserve">投标单位自20</w:t>
            </w:r>
            <w:r>
              <w:rPr>
                <w:rFonts w:hint="eastAsia" w:ascii="宋体" w:hAnsi="宋体" w:cs="宋体"/>
                <w:color w:val="000000"/>
                <w:szCs w:val="21"/>
                <w:highlight w:val="none"/>
                <w:lang w:val="en-US" w:eastAsia="zh-CN"/>
              </w:rPr>
              <w:t xml:space="preserve">21</w:t>
            </w:r>
            <w:r>
              <w:rPr>
                <w:rFonts w:hint="eastAsia" w:ascii="宋体" w:hAnsi="宋体" w:cs="宋体"/>
                <w:color w:val="000000"/>
                <w:szCs w:val="21"/>
                <w:highlight w:val="none"/>
              </w:rPr>
              <w:t xml:space="preserve">年1月1日以来承接过的</w:t>
            </w:r>
            <w:r>
              <w:rPr>
                <w:rFonts w:hint="eastAsia" w:ascii="宋体" w:hAnsi="宋体" w:cs="宋体"/>
                <w:color w:val="000000"/>
                <w:szCs w:val="21"/>
                <w:highlight w:val="none"/>
                <w:lang w:eastAsia="zh-CN"/>
              </w:rPr>
              <w:t xml:space="preserve">年度市政养护或管网维护项目业绩</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小区、商业体的内部排水管的管护不予认可</w:t>
            </w:r>
            <w:r>
              <w:rPr>
                <w:rFonts w:hint="eastAsia" w:ascii="宋体" w:hAnsi="宋体" w:cs="宋体"/>
                <w:color w:val="000000"/>
                <w:szCs w:val="21"/>
                <w:highlight w:val="none"/>
              </w:rPr>
              <w:t xml:space="preserve">），有一项得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分，最高得</w:t>
            </w:r>
            <w:r>
              <w:rPr>
                <w:rFonts w:hint="eastAsia" w:ascii="宋体" w:hAnsi="宋体" w:cs="宋体"/>
                <w:color w:val="000000"/>
                <w:szCs w:val="21"/>
                <w:highlight w:val="none"/>
                <w:lang w:val="en-US" w:eastAsia="zh-CN"/>
              </w:rPr>
              <w:t xml:space="preserve">12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Mar>
              <w:left w:w="108" w:type="dxa"/>
              <w:top w:w="0" w:type="dxa"/>
              <w:right w:w="108" w:type="dxa"/>
              <w:bottom w:w="0" w:type="dxa"/>
            </w:tcMar>
            <w:tcW w:w="334" w:type="dxa"/>
            <w:vAlign w:val="center"/>
            <w:textDirection w:val="lrTb"/>
            <w:noWrap w:val="false"/>
          </w:tcPr>
          <w:p>
            <w:pPr>
              <w:pStyle w:val="1023"/>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Mar>
              <w:left w:w="108" w:type="dxa"/>
              <w:top w:w="0" w:type="dxa"/>
              <w:right w:w="108" w:type="dxa"/>
              <w:bottom w:w="0" w:type="dxa"/>
            </w:tcMar>
            <w:tcW w:w="1649" w:type="dxa"/>
            <w:vAlign w:val="center"/>
            <w:textDirection w:val="lrTb"/>
            <w:noWrap w:val="false"/>
          </w:tcPr>
          <w:p>
            <w:pPr>
              <w:pStyle w:val="1023"/>
              <w:spacing w:line="320" w:lineRule="exact"/>
              <w:rPr>
                <w:rFonts w:hint="eastAsia" w:ascii="宋体" w:hAnsi="宋体" w:cs="宋体"/>
                <w:bCs/>
                <w:color w:val="000000"/>
                <w:szCs w:val="21"/>
                <w:highlight w:val="none"/>
              </w:rPr>
            </w:pPr>
            <w:r>
              <w:rPr>
                <w:rFonts w:hint="eastAsia" w:ascii="宋体" w:hAnsi="宋体" w:cs="宋体"/>
                <w:bCs/>
                <w:color w:val="000000"/>
                <w:szCs w:val="21"/>
                <w:highlight w:val="none"/>
              </w:rPr>
              <w:t xml:space="preserve">1、提供中标通知书</w:t>
            </w:r>
            <w:r>
              <w:rPr>
                <w:rFonts w:hint="eastAsia" w:ascii="宋体" w:hAnsi="宋体" w:cs="宋体"/>
                <w:bCs/>
                <w:color w:val="000000"/>
                <w:szCs w:val="21"/>
                <w:highlight w:val="none"/>
                <w:lang w:eastAsia="zh-CN"/>
              </w:rPr>
              <w:t xml:space="preserve">、项目</w:t>
            </w:r>
            <w:r>
              <w:rPr>
                <w:rFonts w:hint="eastAsia" w:ascii="宋体" w:hAnsi="宋体" w:cs="宋体"/>
                <w:bCs/>
                <w:color w:val="000000"/>
                <w:szCs w:val="21"/>
                <w:highlight w:val="none"/>
              </w:rPr>
              <w:t xml:space="preserve">合同</w:t>
            </w:r>
            <w:r>
              <w:rPr>
                <w:rFonts w:hint="eastAsia" w:ascii="宋体" w:hAnsi="宋体" w:cs="宋体"/>
                <w:bCs/>
                <w:color w:val="000000"/>
                <w:szCs w:val="21"/>
                <w:highlight w:val="none"/>
              </w:rPr>
              <w:t xml:space="preserve">及合同期内任意一次付款</w:t>
            </w:r>
            <w:r>
              <w:rPr>
                <w:rFonts w:hint="eastAsia" w:ascii="宋体" w:hAnsi="宋体" w:cs="宋体"/>
                <w:bCs/>
                <w:color w:val="000000"/>
                <w:szCs w:val="21"/>
                <w:highlight w:val="none"/>
                <w:lang w:eastAsia="zh-CN"/>
              </w:rPr>
              <w:t xml:space="preserve">凭证</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1023"/>
              <w:spacing w:line="320" w:lineRule="exact"/>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w:t>
            </w:r>
            <w:r>
              <w:rPr>
                <w:rFonts w:hint="eastAsia" w:ascii="宋体" w:hAnsi="宋体" w:eastAsia="宋体" w:cs="宋体"/>
                <w:bCs/>
                <w:color w:val="000000"/>
                <w:szCs w:val="21"/>
                <w:highlight w:val="none"/>
              </w:rPr>
              <w:t xml:space="preserve">时间、服务内容以合同所载内容为准。</w:t>
            </w:r>
            <w:r>
              <w:rPr>
                <w:rFonts w:hint="eastAsia" w:ascii="宋体" w:hAnsi="宋体" w:eastAsia="宋体" w:cs="宋体"/>
                <w:bCs/>
                <w:color w:val="000000"/>
                <w:szCs w:val="21"/>
                <w:highlight w:val="none"/>
              </w:rPr>
            </w:r>
            <w:r/>
          </w:p>
          <w:p>
            <w:pPr>
              <w:pStyle w:val="1023"/>
              <w:spacing w:line="320" w:lineRule="exact"/>
              <w:rPr>
                <w:rFonts w:hint="eastAsia" w:ascii="宋体" w:hAnsi="宋体" w:cs="宋体"/>
                <w:bCs/>
                <w:color w:val="000000"/>
                <w:szCs w:val="21"/>
                <w:highlight w:val="none"/>
              </w:rPr>
            </w:pPr>
            <w:r>
              <w:rPr>
                <w:rFonts w:hint="eastAsia" w:ascii="宋体" w:hAnsi="宋体" w:eastAsia="宋体" w:cs="宋体"/>
                <w:bCs/>
                <w:color w:val="000000"/>
                <w:szCs w:val="21"/>
                <w:highlight w:val="none"/>
              </w:rPr>
              <w:t xml:space="preserve">3、同一中标通知书的项目分不同年份签订的合同不累计</w:t>
            </w:r>
            <w:r>
              <w:rPr>
                <w:rFonts w:hint="eastAsia" w:ascii="宋体" w:hAnsi="宋体" w:eastAsia="宋体" w:cs="宋体"/>
                <w:bCs/>
                <w:color w:val="000000"/>
                <w:szCs w:val="21"/>
                <w:highlight w:val="none"/>
              </w:rPr>
              <w:t xml:space="preserve">得分。</w:t>
            </w:r>
            <w:r>
              <w:rPr>
                <w:rFonts w:hint="eastAsia" w:ascii="宋体" w:hAnsi="宋体" w:cs="宋体"/>
                <w:bCs/>
                <w:color w:val="000000"/>
                <w:szCs w:val="21"/>
                <w:highlight w:val="none"/>
              </w:rPr>
            </w:r>
            <w:r/>
          </w:p>
        </w:tc>
      </w:tr>
    </w:tbl>
    <w:p>
      <w:pPr>
        <w:pStyle w:val="1023"/>
        <w:ind w:firstLine="482"/>
        <w:spacing w:before="120" w:line="360" w:lineRule="auto"/>
        <w:tabs>
          <w:tab w:val="left" w:pos="360" w:leader="none"/>
        </w:tabs>
        <w:rPr>
          <w:rFonts w:hint="eastAsia" w:ascii="Times New Roman" w:hAnsi="Times New Roman" w:eastAsia="宋体" w:cs="Times New Roman"/>
          <w:b/>
          <w:bCs/>
          <w:color w:val="000000"/>
          <w:sz w:val="24"/>
          <w:highlight w:val="none"/>
        </w:rPr>
        <w:outlineLvl w:val="1"/>
      </w:pPr>
      <w:r>
        <w:rPr>
          <w:rFonts w:hint="eastAsia" w:ascii="Times New Roman" w:hAnsi="Times New Roman" w:eastAsia="宋体" w:cs="Times New Roman"/>
          <w:b/>
          <w:bCs/>
          <w:color w:val="000000"/>
          <w:sz w:val="24"/>
          <w:highlight w:val="none"/>
        </w:rPr>
        <w:t xml:space="preserve">注意事项：</w:t>
      </w:r>
      <w:r>
        <w:rPr>
          <w:rFonts w:hint="eastAsia" w:ascii="Times New Roman" w:hAnsi="Times New Roman" w:eastAsia="宋体" w:cs="Times New Roman"/>
          <w:b/>
          <w:bCs/>
          <w:color w:val="000000"/>
          <w:sz w:val="24"/>
          <w:highlight w:val="none"/>
        </w:rPr>
      </w:r>
      <w:r/>
    </w:p>
    <w:p>
      <w:pPr>
        <w:pStyle w:val="1023"/>
        <w:ind w:firstLine="482"/>
        <w:spacing w:before="120" w:line="360" w:lineRule="auto"/>
        <w:tabs>
          <w:tab w:val="left" w:pos="360" w:leader="none"/>
        </w:tabs>
        <w:rPr>
          <w:rFonts w:hint="eastAsia" w:ascii="Times New Roman" w:hAnsi="Times New Roman" w:eastAsia="宋体" w:cs="Times New Roman"/>
          <w:b/>
          <w:bCs/>
          <w:color w:val="000000"/>
          <w:sz w:val="24"/>
          <w:highlight w:val="none"/>
        </w:rPr>
        <w:outlineLvl w:val="1"/>
      </w:pPr>
      <w:r>
        <w:rPr>
          <w:rFonts w:hint="eastAsia" w:ascii="Times New Roman" w:hAnsi="Times New Roman" w:eastAsia="宋体" w:cs="Times New Roman"/>
          <w:b/>
          <w:bCs/>
          <w:color w:val="000000"/>
          <w:sz w:val="24"/>
          <w:highlight w:val="none"/>
          <w:lang w:val="en-US" w:eastAsia="zh-CN"/>
        </w:rPr>
        <w:t xml:space="preserve">1、</w:t>
      </w:r>
      <w:r>
        <w:rPr>
          <w:rFonts w:hint="eastAsia" w:ascii="Times New Roman" w:hAnsi="Times New Roman" w:eastAsia="宋体" w:cs="Times New Roman"/>
          <w:b/>
          <w:bCs/>
          <w:color w:val="000000"/>
          <w:sz w:val="24"/>
          <w:highlight w:val="none"/>
        </w:rPr>
        <w:t xml:space="preserve">主观分总页数≤</w:t>
      </w:r>
      <w:r>
        <w:rPr>
          <w:rFonts w:hint="eastAsia" w:ascii="Times New Roman" w:hAnsi="Times New Roman" w:eastAsia="宋体" w:cs="Times New Roman"/>
          <w:b/>
          <w:bCs/>
          <w:color w:val="000000"/>
          <w:sz w:val="24"/>
          <w:highlight w:val="none"/>
          <w:lang w:val="en-US" w:eastAsia="zh-CN"/>
        </w:rPr>
        <w:t xml:space="preserve">200</w:t>
      </w:r>
      <w:r>
        <w:rPr>
          <w:rFonts w:hint="eastAsia" w:ascii="Times New Roman" w:hAnsi="Times New Roman" w:eastAsia="宋体" w:cs="Times New Roman"/>
          <w:b/>
          <w:bCs/>
          <w:color w:val="000000"/>
          <w:sz w:val="24"/>
          <w:highlight w:val="none"/>
        </w:rPr>
        <w:t xml:space="preserve">页，每超过一页的，其主观分总得分扣0.1分，以此类推。</w:t>
      </w:r>
      <w:r>
        <w:rPr>
          <w:rFonts w:hint="eastAsia" w:ascii="Times New Roman" w:hAnsi="Times New Roman" w:eastAsia="宋体" w:cs="Times New Roman"/>
          <w:b/>
          <w:bCs/>
          <w:color w:val="000000"/>
          <w:sz w:val="24"/>
          <w:highlight w:val="none"/>
        </w:rPr>
      </w:r>
      <w:r/>
    </w:p>
    <w:p>
      <w:pPr>
        <w:pStyle w:val="1023"/>
        <w:ind w:firstLine="482"/>
        <w:spacing w:before="120" w:line="360" w:lineRule="auto"/>
        <w:tabs>
          <w:tab w:val="left" w:pos="360" w:leader="none"/>
        </w:tabs>
        <w:rPr>
          <w:rFonts w:hint="eastAsia" w:ascii="Times New Roman" w:hAnsi="Times New Roman" w:eastAsia="宋体" w:cs="Times New Roman"/>
          <w:b/>
          <w:bCs/>
          <w:color w:val="000000"/>
          <w:sz w:val="24"/>
          <w:highlight w:val="none"/>
          <w:lang w:eastAsia="zh-CN"/>
        </w:rPr>
        <w:outlineLvl w:val="1"/>
      </w:pPr>
      <w:r>
        <w:rPr>
          <w:rFonts w:hint="eastAsia" w:ascii="Times New Roman" w:hAnsi="Times New Roman" w:eastAsia="宋体" w:cs="Times New Roman"/>
          <w:b/>
          <w:bCs/>
          <w:color w:val="000000"/>
          <w:sz w:val="24"/>
          <w:highlight w:val="none"/>
          <w:lang w:val="en-US" w:eastAsia="zh-CN"/>
        </w:rPr>
        <w:t xml:space="preserve">2、</w:t>
      </w:r>
      <w:r>
        <w:rPr>
          <w:rFonts w:hint="eastAsia" w:ascii="Times New Roman" w:hAnsi="Times New Roman" w:eastAsia="宋体" w:cs="Times New Roman"/>
          <w:b/>
          <w:bCs/>
          <w:color w:val="000000"/>
          <w:sz w:val="24"/>
          <w:highlight w:val="none"/>
        </w:rPr>
        <w:t xml:space="preserve">评分标准中要求提供的证明文件及资料通过“苏采云系统”按对应评分项目（或数字编号）分别制作上传</w:t>
      </w:r>
      <w:r>
        <w:rPr>
          <w:rFonts w:hint="eastAsia" w:ascii="Times New Roman" w:hAnsi="Times New Roman" w:eastAsia="宋体" w:cs="Times New Roman"/>
          <w:b/>
          <w:bCs/>
          <w:color w:val="000000"/>
          <w:sz w:val="24"/>
          <w:highlight w:val="none"/>
        </w:rPr>
        <w:t xml:space="preserve">，必须保证内容具体、印章完整、清晰可辨。未按以上要求制作上传的，经评标委员会成员半数以上认定后作不得分处理</w:t>
      </w:r>
      <w:r>
        <w:rPr>
          <w:rFonts w:hint="eastAsia" w:ascii="Times New Roman" w:hAnsi="Times New Roman" w:eastAsia="宋体" w:cs="Times New Roman"/>
          <w:b/>
          <w:bCs/>
          <w:color w:val="000000"/>
          <w:sz w:val="24"/>
          <w:highlight w:val="none"/>
          <w:lang w:eastAsia="zh-CN"/>
        </w:rPr>
        <w:t xml:space="preserve">。</w:t>
      </w:r>
      <w:bookmarkEnd w:id="249"/>
      <w:r/>
      <w:bookmarkEnd w:id="250"/>
      <w:r>
        <w:rPr>
          <w:rFonts w:hint="eastAsia" w:ascii="Times New Roman" w:hAnsi="Times New Roman" w:eastAsia="宋体" w:cs="Times New Roman"/>
          <w:b/>
          <w:bCs/>
          <w:color w:val="000000"/>
          <w:sz w:val="24"/>
          <w:highlight w:val="none"/>
          <w:lang w:eastAsia="zh-CN"/>
        </w:rPr>
      </w:r>
      <w:r/>
    </w:p>
    <w:p>
      <w:pPr>
        <w:pStyle w:val="1023"/>
        <w:ind w:firstLine="723"/>
        <w:jc w:val="center"/>
        <w:spacing w:before="120" w:line="360" w:lineRule="auto"/>
        <w:tabs>
          <w:tab w:val="left" w:pos="360" w:leader="none"/>
        </w:tabs>
        <w:rPr>
          <w:color w:val="000000"/>
          <w:sz w:val="24"/>
          <w:highlight w:val="none"/>
        </w:rPr>
        <w:outlineLvl w:val="1"/>
      </w:pPr>
      <w:r>
        <w:rPr>
          <w:b/>
          <w:color w:val="000000"/>
          <w:sz w:val="36"/>
          <w:szCs w:val="36"/>
          <w:highlight w:val="none"/>
        </w:rPr>
        <w:br w:type="page" w:clear="all"/>
      </w:r>
      <w:r>
        <w:rPr>
          <w:b/>
          <w:color w:val="000000"/>
          <w:sz w:val="36"/>
          <w:szCs w:val="36"/>
          <w:highlight w:val="none"/>
        </w:rPr>
        <w:t xml:space="preserve">第五章   采购需求</w:t>
      </w:r>
      <w:bookmarkEnd w:id="94"/>
      <w:r>
        <w:rPr>
          <w:color w:val="000000"/>
          <w:sz w:val="24"/>
          <w:highlight w:val="none"/>
        </w:rPr>
      </w:r>
      <w:r/>
    </w:p>
    <w:p>
      <w:pPr>
        <w:pStyle w:val="1023"/>
        <w:ind w:firstLine="492"/>
        <w:spacing w:line="360" w:lineRule="auto"/>
        <w:rPr>
          <w:rFonts w:hint="eastAsia" w:ascii="宋体" w:hAnsi="宋体" w:eastAsia="宋体" w:cs="宋体"/>
          <w:color w:val="000000"/>
          <w:sz w:val="24"/>
          <w:szCs w:val="28"/>
          <w:highlight w:val="none"/>
          <w:lang w:eastAsia="zh-CN"/>
        </w:rPr>
      </w:pPr>
      <w:r/>
      <w:bookmarkStart w:id="286" w:name="_Toc99301425"/>
      <w:r>
        <w:rPr>
          <w:rFonts w:ascii="Symbol" w:hAnsi="Symbol" w:cs="Symbol"/>
          <w:b/>
          <w:bCs/>
          <w:color w:val="000000"/>
          <w:sz w:val="24"/>
          <w:highlight w:val="none"/>
        </w:rPr>
        <w:t xml:space="preserve">一、招标内容：</w:t>
      </w:r>
      <w:r>
        <w:rPr>
          <w:rFonts w:hint="eastAsia" w:ascii="宋体" w:hAnsi="宋体" w:cs="宋体"/>
          <w:color w:val="000000"/>
          <w:sz w:val="24"/>
          <w:szCs w:val="28"/>
          <w:highlight w:val="none"/>
          <w:lang w:eastAsia="zh-CN"/>
        </w:rPr>
        <w:t xml:space="preserve">2026-2028年度武进国家高新区市政维护项目</w:t>
      </w:r>
      <w:r>
        <w:rPr>
          <w:rFonts w:hint="eastAsia" w:ascii="宋体" w:hAnsi="宋体" w:eastAsia="宋体" w:cs="宋体"/>
          <w:color w:val="000000"/>
          <w:sz w:val="24"/>
          <w:szCs w:val="28"/>
          <w:highlight w:val="none"/>
          <w:lang w:eastAsia="zh-CN"/>
        </w:rPr>
      </w:r>
      <w:r/>
    </w:p>
    <w:p>
      <w:pPr>
        <w:pStyle w:val="1023"/>
        <w:ind w:firstLine="492"/>
        <w:spacing w:line="360" w:lineRule="auto"/>
        <w:rPr>
          <w:rFonts w:ascii="宋体" w:hAnsi="宋体" w:cs="宋体"/>
          <w:color w:val="000000"/>
          <w:sz w:val="24"/>
          <w:szCs w:val="28"/>
          <w:highlight w:val="none"/>
        </w:rPr>
      </w:pPr>
      <w:r>
        <w:rPr>
          <w:rFonts w:ascii="Symbol" w:hAnsi="Symbol" w:cs="Symbol"/>
          <w:b/>
          <w:bCs/>
          <w:color w:val="000000"/>
          <w:sz w:val="24"/>
          <w:highlight w:val="none"/>
        </w:rPr>
        <w:t xml:space="preserve">二、标段的划分：</w:t>
      </w:r>
      <w:r>
        <w:rPr>
          <w:rFonts w:ascii="宋体" w:hAnsi="宋体" w:cs="宋体"/>
          <w:color w:val="000000"/>
          <w:sz w:val="24"/>
          <w:szCs w:val="28"/>
          <w:highlight w:val="none"/>
        </w:rPr>
        <w:t xml:space="preserve">本次招标项目共</w:t>
      </w:r>
      <w:r>
        <w:rPr>
          <w:rFonts w:hint="eastAsia" w:ascii="宋体" w:hAnsi="宋体" w:cs="宋体"/>
          <w:color w:val="000000"/>
          <w:sz w:val="24"/>
          <w:szCs w:val="28"/>
          <w:highlight w:val="none"/>
        </w:rPr>
        <w:t xml:space="preserve">1</w:t>
      </w:r>
      <w:r>
        <w:rPr>
          <w:rFonts w:ascii="宋体" w:hAnsi="宋体" w:cs="宋体"/>
          <w:color w:val="000000"/>
          <w:sz w:val="24"/>
          <w:szCs w:val="28"/>
          <w:highlight w:val="none"/>
        </w:rPr>
        <w:t xml:space="preserve">个标段。</w:t>
      </w:r>
      <w:r>
        <w:rPr>
          <w:rFonts w:ascii="宋体" w:hAnsi="宋体" w:cs="宋体"/>
          <w:color w:val="000000"/>
          <w:sz w:val="24"/>
          <w:szCs w:val="28"/>
          <w:highlight w:val="none"/>
        </w:rPr>
      </w:r>
      <w:r/>
    </w:p>
    <w:p>
      <w:pPr>
        <w:pStyle w:val="1023"/>
        <w:ind w:firstLine="492"/>
        <w:spacing w:line="360" w:lineRule="auto"/>
        <w:rPr>
          <w:rFonts w:hint="eastAsia" w:ascii="Symbol" w:hAnsi="Symbol" w:cs="Symbol"/>
          <w:b/>
          <w:bCs/>
          <w:color w:val="000000"/>
          <w:sz w:val="24"/>
          <w:highlight w:val="none"/>
        </w:rPr>
      </w:pPr>
      <w:r>
        <w:rPr>
          <w:rFonts w:ascii="Symbol" w:hAnsi="Symbol" w:cs="Symbol"/>
          <w:b/>
          <w:bCs/>
          <w:color w:val="000000"/>
          <w:sz w:val="24"/>
          <w:highlight w:val="none"/>
        </w:rPr>
        <w:t xml:space="preserve">三、</w:t>
      </w:r>
      <w:r>
        <w:rPr>
          <w:rFonts w:hint="eastAsia" w:ascii="Symbol" w:hAnsi="Symbol" w:cs="Symbol"/>
          <w:b/>
          <w:bCs/>
          <w:color w:val="000000"/>
          <w:sz w:val="24"/>
          <w:highlight w:val="none"/>
        </w:rPr>
        <w:t xml:space="preserve">项目范围、内容及要求：</w:t>
      </w:r>
      <w:r>
        <w:rPr>
          <w:rFonts w:hint="eastAsia" w:ascii="宋体" w:hAnsi="宋体" w:cs="宋体"/>
          <w:color w:val="000000"/>
          <w:sz w:val="24"/>
          <w:szCs w:val="28"/>
          <w:highlight w:val="none"/>
        </w:rPr>
        <w:t xml:space="preserve">武进国家高新区内市政道路、桥梁、管道、驳岸、路灯、景观照明等市政设施的巡查、维修、改建、新建、管护等项目内容。</w:t>
      </w:r>
      <w:r>
        <w:rPr>
          <w:rFonts w:hint="eastAsia" w:ascii="Symbol" w:hAnsi="Symbol" w:cs="Symbol"/>
          <w:color w:val="000000"/>
          <w:sz w:val="24"/>
          <w:highlight w:val="none"/>
        </w:rPr>
        <w:t xml:space="preserve">（具体见详细清单）；养护考核等级要求：合格。</w:t>
      </w:r>
      <w:r>
        <w:rPr>
          <w:rFonts w:hint="eastAsia" w:ascii="Symbol" w:hAnsi="Symbol" w:cs="Symbol"/>
          <w:b/>
          <w:bCs/>
          <w:color w:val="000000"/>
          <w:sz w:val="24"/>
          <w:highlight w:val="none"/>
        </w:rPr>
      </w:r>
      <w:r/>
    </w:p>
    <w:p>
      <w:pPr>
        <w:pStyle w:val="1023"/>
        <w:ind w:firstLine="482"/>
        <w:spacing w:line="360" w:lineRule="auto"/>
        <w:rPr>
          <w:rFonts w:hint="eastAsia" w:ascii="Symbol" w:hAnsi="Symbol" w:cs="Symbol"/>
          <w:b/>
          <w:bCs/>
          <w:color w:val="000000"/>
          <w:sz w:val="24"/>
          <w:highlight w:val="none"/>
        </w:rPr>
      </w:pPr>
      <w:r>
        <w:rPr>
          <w:rFonts w:hint="eastAsia" w:ascii="Symbol" w:hAnsi="Symbol" w:cs="Symbol"/>
          <w:b/>
          <w:bCs/>
          <w:color w:val="000000"/>
          <w:sz w:val="24"/>
          <w:highlight w:val="none"/>
        </w:rPr>
        <w:t xml:space="preserve">四、养护相关要求</w:t>
      </w:r>
      <w:r>
        <w:rPr>
          <w:rFonts w:hint="eastAsia" w:ascii="Symbol" w:hAnsi="Symbol" w:cs="Symbol"/>
          <w:b/>
          <w:bCs/>
          <w:color w:val="000000"/>
          <w:sz w:val="24"/>
          <w:highlight w:val="none"/>
        </w:rPr>
      </w:r>
      <w:r/>
    </w:p>
    <w:p>
      <w:pPr>
        <w:pStyle w:val="1023"/>
        <w:ind w:firstLine="480"/>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1、本项目招标控制价采用“全费用单价方式”计价。</w:t>
      </w:r>
      <w:r>
        <w:rPr>
          <w:rFonts w:hint="eastAsia" w:ascii="宋体" w:hAnsi="宋体" w:cs="宋体"/>
          <w:color w:val="000000"/>
          <w:sz w:val="24"/>
          <w:szCs w:val="28"/>
          <w:highlight w:val="none"/>
        </w:rPr>
      </w:r>
      <w:r/>
    </w:p>
    <w:p>
      <w:pPr>
        <w:pStyle w:val="1023"/>
        <w:ind w:firstLine="482"/>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1.1全费用单价是相对于服务量清单中完成一个规定计量单位的清单</w:t>
      </w:r>
      <w:r>
        <w:rPr>
          <w:rFonts w:hint="eastAsia" w:ascii="宋体" w:hAnsi="宋体" w:cs="宋体"/>
          <w:color w:val="000000"/>
          <w:sz w:val="24"/>
          <w:szCs w:val="28"/>
          <w:highlight w:val="none"/>
          <w:lang w:val="en-US" w:eastAsia="zh-CN"/>
        </w:rPr>
        <w:t xml:space="preserve"> </w:t>
      </w:r>
      <w:r>
        <w:rPr>
          <w:rFonts w:hint="eastAsia" w:ascii="宋体" w:hAnsi="宋体" w:cs="宋体"/>
          <w:color w:val="000000"/>
          <w:sz w:val="24"/>
          <w:szCs w:val="28"/>
          <w:highlight w:val="none"/>
        </w:rPr>
        <w:t xml:space="preserve">项目所需的人工费、材料费、施工机械使用费、企业管理费、利润、措施项目费、其它项目费、规费、税金等因素的价格表示；活动护栏保管费、城区内专职巡查费和机械进退场费为年度包干费用，结算时按中标包干费不调整。</w:t>
      </w:r>
      <w:r>
        <w:rPr>
          <w:rFonts w:hint="eastAsia" w:ascii="宋体" w:hAnsi="宋体" w:cs="宋体"/>
          <w:color w:val="000000"/>
          <w:sz w:val="24"/>
          <w:szCs w:val="28"/>
          <w:highlight w:val="none"/>
        </w:rPr>
      </w:r>
      <w:r/>
    </w:p>
    <w:p>
      <w:pPr>
        <w:pStyle w:val="1023"/>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1.2、投标报价的编制要求：</w:t>
      </w:r>
      <w:r>
        <w:rPr>
          <w:rFonts w:ascii="宋体" w:hAnsi="宋体" w:cs="宋体"/>
          <w:color w:val="000000"/>
          <w:sz w:val="24"/>
          <w:szCs w:val="28"/>
          <w:highlight w:val="none"/>
        </w:rPr>
      </w:r>
      <w:r/>
    </w:p>
    <w:p>
      <w:pPr>
        <w:pStyle w:val="1023"/>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1.2.1投标人的投标总价应当与组成服务量清单的每个子目费用合计金额相一致，即投标人在投标报价时，不能进行投标总价优惠（或降价、让利），投标人对招标人的任何优惠（或降价、让利）均应反映在相应清单项目的全费用单价中。</w:t>
      </w:r>
      <w:r>
        <w:rPr>
          <w:rFonts w:ascii="宋体" w:hAnsi="宋体" w:cs="宋体"/>
          <w:color w:val="000000"/>
          <w:sz w:val="24"/>
          <w:szCs w:val="28"/>
          <w:highlight w:val="none"/>
        </w:rPr>
      </w:r>
      <w:r/>
    </w:p>
    <w:p>
      <w:pPr>
        <w:pStyle w:val="1023"/>
        <w:ind w:firstLine="482"/>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1.2.2投标人在投标报价中填写的服务量清单的项目编号、项目名称、项目特征、计量单位、服务数量必须与招标人招标文件中提供的一致。</w:t>
      </w:r>
      <w:r>
        <w:rPr>
          <w:rFonts w:ascii="宋体" w:hAnsi="宋体" w:cs="宋体"/>
          <w:color w:val="000000"/>
          <w:sz w:val="24"/>
          <w:szCs w:val="28"/>
          <w:highlight w:val="none"/>
        </w:rPr>
      </w:r>
      <w:r/>
    </w:p>
    <w:p>
      <w:pPr>
        <w:pStyle w:val="1023"/>
        <w:ind w:firstLine="482"/>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1.2.3投标人的全费用单价中应考虑招标文件中要求投标人承担的风险内容及其范围（幅度）产生的风险费用。在施工过程中，当出现的风险内容及其范围（幅度）在合同约定的范围时，服务价款不作调整。</w:t>
      </w:r>
      <w:r>
        <w:rPr>
          <w:rFonts w:hint="eastAsia" w:ascii="宋体" w:hAnsi="宋体" w:cs="宋体"/>
          <w:color w:val="000000"/>
          <w:sz w:val="24"/>
          <w:szCs w:val="28"/>
          <w:highlight w:val="none"/>
        </w:rPr>
      </w:r>
      <w:r/>
    </w:p>
    <w:p>
      <w:pPr>
        <w:pStyle w:val="1023"/>
        <w:ind w:firstLine="482"/>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1.2.4施工中所用的材料、成品、半成品在制作、运输、安装中等发生的一切损耗应包括在报价内。</w:t>
      </w:r>
      <w:r>
        <w:rPr>
          <w:rFonts w:hint="eastAsia" w:ascii="宋体" w:hAnsi="宋体" w:cs="宋体"/>
          <w:color w:val="000000"/>
          <w:sz w:val="24"/>
          <w:szCs w:val="28"/>
          <w:highlight w:val="none"/>
        </w:rPr>
      </w:r>
      <w:r/>
    </w:p>
    <w:p>
      <w:pPr>
        <w:pStyle w:val="1023"/>
        <w:ind w:firstLine="482"/>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中标单位在中标后，需在常武地区设立固定办公场所及堆放器具的基地（自有或租赁，自有提供房产证原件、租赁提供租赁合同为依据），办公场所面积不少于200平方米，堆放器具的基地面积不少于800平方米，总面积不少于2000平方米。由甲方现场核实确认。如不能满足要求的，甲方有权取消其中标资格。</w:t>
      </w:r>
      <w:r>
        <w:rPr>
          <w:rFonts w:hint="eastAsia" w:ascii="宋体" w:hAnsi="宋体" w:cs="宋体"/>
          <w:color w:val="000000"/>
          <w:sz w:val="24"/>
          <w:szCs w:val="28"/>
          <w:highlight w:val="none"/>
        </w:rPr>
      </w:r>
      <w:r/>
    </w:p>
    <w:p>
      <w:pPr>
        <w:pStyle w:val="1023"/>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2、对中标单位要求：</w:t>
      </w:r>
      <w:r>
        <w:rPr>
          <w:rFonts w:hint="eastAsia" w:ascii="宋体" w:hAnsi="宋体" w:cs="宋体"/>
          <w:color w:val="000000"/>
          <w:sz w:val="24"/>
          <w:szCs w:val="28"/>
          <w:highlight w:val="none"/>
        </w:rPr>
      </w:r>
      <w:r/>
    </w:p>
    <w:p>
      <w:pPr>
        <w:pStyle w:val="1023"/>
        <w:ind w:firstLine="480"/>
        <w:jc w:val="left"/>
        <w:spacing w:line="360" w:lineRule="auto"/>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2.1市政道路日常巡查工作按要求（频率、路线、内容等）每天进行，记录巡查结果。发现道路、人行道板等市政设施损坏的及时上报业主，承包人未按要求巡查、未能及时发现路面病害，将根据巡查要求及考核细则对巡查费实施扣减。对因巡查不到位导致的其他损害，由承包人负责赔偿。</w:t>
      </w:r>
      <w:r>
        <w:rPr>
          <w:rFonts w:hint="eastAsia"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2.2承包人发现沥青路面出现泛油、拥包、裂缝、坑槽、坑塘、沉陷、局部网裂、松散、车辙、麻面、啃边等病害；水泥混凝土路面出现的裂缝、板角断裂、边角剥落、错台、唧泥、拱起、表面裂纹与层状剥落、坑洞等病害；人行道板、侧平石等设施破损、松动、坑塘等病害时要及时上报业主，按业主派单及规范要求进行修补施工，施工过程符合要求（质量、进度、安全、文明等），保证修补质量使路面平整度良好，行车舒适。有安全隐患的在上报的同时承包人应做好安全围护工作。</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2.3对于暴雨、台风、雨、雪等自然灾害引起的突发性道路、人行道板等损坏，承包人须及时采取防范措施，防止出现安全事故，并及时向业主汇报，经批准后进行抢修。</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2.4负责及时处理12319城管热线、市长信箱及各类来电来访等各类平台投诉的问题并回复。处理过程中做好安全文明施工，同时做好与反映者的沟通解释工作。承包人至少配备2辆机动车（专用，皮卡或卡车）用于市政巡查抢修及城市长效管理日常巡查工作。未按要求及时处理或处理不到位导致政府形象受损或扣分的，按考核细则进行处罚。</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2.5承包人投标文件中的人员、材料、机械为本项目专用，未经业主许可，不得挪作他用。</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2.6道路、道板等维修后的等各种垃圾废弃物的处理运输应满足国家及当地环保部门的要求。</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3、中标后若发现中标单位的人员、机械、办公场所、基地面积等不满足本次项目需要的或为了满足本项目需要而提供虚假材料的，甲方有权取消该单位中标资格，并依法重新招标。</w:t>
      </w:r>
      <w:r>
        <w:rPr>
          <w:rFonts w:ascii="宋体" w:hAnsi="宋体" w:cs="宋体"/>
          <w:color w:val="000000"/>
          <w:sz w:val="24"/>
          <w:szCs w:val="28"/>
          <w:highlight w:val="none"/>
        </w:rPr>
      </w:r>
      <w:r/>
    </w:p>
    <w:p>
      <w:pPr>
        <w:pStyle w:val="1023"/>
        <w:ind w:firstLine="480"/>
        <w:jc w:val="left"/>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4、在施工过程中，施工单位连续三个月考核不合格或每个年度累计考核不合格达三次的，甲方有权解除合同，并依法重新招标。</w:t>
      </w:r>
      <w:r>
        <w:rPr>
          <w:rFonts w:ascii="宋体" w:hAnsi="宋体" w:cs="宋体"/>
          <w:color w:val="000000"/>
          <w:sz w:val="24"/>
          <w:szCs w:val="28"/>
          <w:highlight w:val="none"/>
        </w:rPr>
      </w:r>
      <w:r/>
    </w:p>
    <w:p>
      <w:pPr>
        <w:pStyle w:val="1103"/>
        <w:ind w:firstLine="482"/>
        <w:spacing w:line="360" w:lineRule="auto"/>
        <w:rPr>
          <w:rFonts w:hint="eastAsia" w:eastAsia="宋体"/>
          <w:b/>
          <w:bCs/>
          <w:color w:val="000000"/>
          <w:highlight w:val="none"/>
          <w:lang w:val="en-US" w:eastAsia="zh-CN"/>
        </w:rPr>
      </w:pPr>
      <w:r>
        <w:rPr>
          <w:rFonts w:hint="eastAsia" w:eastAsia="宋体"/>
          <w:b/>
          <w:bCs/>
          <w:color w:val="000000"/>
          <w:highlight w:val="none"/>
          <w:lang w:val="en-US" w:eastAsia="zh-CN"/>
        </w:rPr>
        <w:t xml:space="preserve">5、其他履约要求：</w:t>
      </w:r>
      <w:r>
        <w:rPr>
          <w:rFonts w:hint="eastAsia" w:eastAsia="宋体"/>
          <w:b/>
          <w:bCs/>
          <w:color w:val="000000"/>
          <w:highlight w:val="none"/>
          <w:lang w:val="en-US" w:eastAsia="zh-CN"/>
        </w:rPr>
      </w:r>
      <w:r/>
    </w:p>
    <w:p>
      <w:pPr>
        <w:pStyle w:val="1103"/>
        <w:ind w:firstLine="482"/>
        <w:spacing w:line="360" w:lineRule="auto"/>
        <w:rPr>
          <w:rFonts w:hint="eastAsia" w:eastAsia="宋体"/>
          <w:b/>
          <w:bCs/>
          <w:color w:val="000000"/>
          <w:highlight w:val="none"/>
          <w:lang w:val="en-US" w:eastAsia="zh-CN"/>
        </w:rPr>
      </w:pPr>
      <w:r>
        <w:rPr>
          <w:rFonts w:hint="eastAsia" w:eastAsia="宋体"/>
          <w:b/>
          <w:bCs/>
          <w:color w:val="000000"/>
          <w:highlight w:val="none"/>
          <w:lang w:val="en-US" w:eastAsia="zh-CN"/>
        </w:rPr>
        <w:t xml:space="preserve">5.1投标人须承诺中标后2个月内在中标区域范围内完成作业基地的设置。延迟1个月(含)扣除当年管护费5万元。延迟2个月(含)扣除当年管护费10万元。延迟3个月招标人有权终止合同。中标人在中标后1个月内未进场的，招标人有权终止合同，造成的所有损失由中标人承担。</w:t>
      </w:r>
      <w:r>
        <w:rPr>
          <w:rFonts w:hint="eastAsia" w:eastAsia="宋体"/>
          <w:b/>
          <w:bCs/>
          <w:color w:val="000000"/>
          <w:highlight w:val="none"/>
          <w:lang w:val="en-US" w:eastAsia="zh-CN"/>
        </w:rPr>
      </w:r>
      <w:r/>
    </w:p>
    <w:p>
      <w:pPr>
        <w:pStyle w:val="1103"/>
        <w:ind w:firstLine="482"/>
        <w:spacing w:line="360" w:lineRule="auto"/>
        <w:rPr>
          <w:color w:val="000000"/>
          <w:highlight w:val="none"/>
        </w:rPr>
      </w:pPr>
      <w:r>
        <w:rPr>
          <w:b/>
          <w:bCs/>
          <w:color w:val="000000"/>
          <w:highlight w:val="none"/>
        </w:rPr>
        <w:t xml:space="preserve">五、付款方式：</w:t>
      </w:r>
      <w:r>
        <w:rPr>
          <w:rFonts w:hint="eastAsia"/>
          <w:color w:val="000000"/>
          <w:highlight w:val="none"/>
        </w:rPr>
        <w:t xml:space="preserve">合同签订后一个月内，支付合同价款的10%作为预付款，当年项目款按照年度服务总量审计价的80%支付（同时扣回预付款），付款节点为当年度阴历年前，余款第二年付清。</w:t>
      </w:r>
      <w:r>
        <w:rPr>
          <w:color w:val="000000"/>
          <w:highlight w:val="none"/>
        </w:rPr>
      </w:r>
      <w:r/>
    </w:p>
    <w:p>
      <w:pPr>
        <w:pStyle w:val="1103"/>
        <w:ind w:firstLine="482"/>
        <w:spacing w:line="360" w:lineRule="auto"/>
        <w:rPr>
          <w:b/>
          <w:bCs/>
          <w:color w:val="000000"/>
          <w:highlight w:val="none"/>
        </w:rPr>
      </w:pPr>
      <w:r>
        <w:rPr>
          <w:b/>
          <w:bCs/>
          <w:color w:val="000000"/>
          <w:highlight w:val="none"/>
        </w:rPr>
        <w:t xml:space="preserve">六、养护区域图的百度截图。</w:t>
      </w:r>
      <w:r>
        <w:rPr>
          <w:b/>
          <w:bCs/>
          <w:color w:val="000000"/>
          <w:highlight w:val="none"/>
        </w:rPr>
      </w:r>
      <w:r/>
    </w:p>
    <w:p>
      <w:pPr>
        <w:pStyle w:val="1103"/>
        <w:ind w:firstLine="482"/>
        <w:spacing w:line="360" w:lineRule="auto"/>
        <w:rPr>
          <w:rFonts w:hint="eastAsia"/>
          <w:b/>
          <w:bCs/>
          <w:color w:val="000000"/>
          <w:highlight w:val="none"/>
          <w:lang w:eastAsia="zh-CN"/>
        </w:rPr>
      </w:pPr>
      <w:r>
        <w:rPr>
          <w:rFonts w:hint="eastAsia"/>
          <w:b/>
          <w:bCs/>
          <w:color w:val="000000"/>
          <w:highlight w:val="none"/>
          <w:lang w:eastAsia="zh-CN"/>
        </w:rPr>
        <w:t xml:space="preserve">南区养护区域</w:t>
      </w:r>
      <w:r>
        <w:rPr>
          <w:rFonts w:hint="eastAsia"/>
          <w:b/>
          <w:bCs/>
          <w:color w:val="000000"/>
          <w:highlight w:val="none"/>
          <w:lang w:eastAsia="zh-CN"/>
        </w:rPr>
      </w:r>
      <w:r/>
    </w:p>
    <w:p>
      <w:pPr>
        <w:pStyle w:val="1103"/>
        <w:ind w:firstLine="482"/>
        <w:spacing w:line="360" w:lineRule="auto"/>
        <w:rPr>
          <w:rFonts w:hint="eastAsia"/>
          <w:b/>
          <w:bCs/>
          <w:color w:val="000000"/>
          <w:highlight w:val="none"/>
          <w:lang w:eastAsia="zh-CN"/>
        </w:rPr>
      </w:pPr>
      <w:r>
        <w:rPr>
          <w:rFonts w:hint="eastAsia"/>
          <w:b/>
          <w:bCs/>
          <w:color w:val="000000"/>
          <w:highlight w:val="none"/>
          <w:lang w:eastAsia="zh-CN"/>
        </w:rPr>
        <mc:AlternateContent>
          <mc:Choice Requires="wpg">
            <w:drawing>
              <wp:inline xmlns:wp="http://schemas.openxmlformats.org/drawingml/2006/wordprocessingDrawing" distT="0" distB="0" distL="0" distR="0">
                <wp:extent cx="5758066" cy="495990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758066" cy="4959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4pt;height:390.5pt;mso-wrap-distance-left:0.0pt;mso-wrap-distance-top:0.0pt;mso-wrap-distance-right:0.0pt;mso-wrap-distance-bottom:0.0pt;" stroked="f">
                <v:path textboxrect="0,0,0,0"/>
                <v:imagedata r:id="rId22" o:title=""/>
              </v:shape>
            </w:pict>
          </mc:Fallback>
        </mc:AlternateContent>
      </w:r>
      <w:r>
        <w:rPr>
          <w:rFonts w:hint="eastAsia"/>
          <w:b/>
          <w:bCs/>
          <w:color w:val="000000"/>
          <w:highlight w:val="none"/>
          <w:lang w:eastAsia="zh-CN"/>
        </w:rPr>
      </w:r>
      <w:r/>
    </w:p>
    <w:p>
      <w:pPr>
        <w:pStyle w:val="1103"/>
        <w:ind w:firstLine="482"/>
        <w:spacing w:line="360" w:lineRule="auto"/>
        <w:rPr>
          <w:rFonts w:hint="eastAsia"/>
          <w:b/>
          <w:bCs/>
          <w:color w:val="000000"/>
          <w:highlight w:val="none"/>
          <w:lang w:eastAsia="zh-CN"/>
        </w:rPr>
      </w:pPr>
      <w:r>
        <w:rPr>
          <w:rFonts w:hint="eastAsia"/>
          <w:b/>
          <w:bCs/>
          <w:color w:val="000000"/>
          <w:highlight w:val="none"/>
          <w:lang w:eastAsia="zh-CN"/>
        </w:rPr>
        <w:br w:type="page" w:clear="all"/>
      </w:r>
      <w:r>
        <w:rPr>
          <w:rFonts w:hint="eastAsia"/>
          <w:b/>
          <w:bCs/>
          <w:color w:val="000000"/>
          <w:highlight w:val="none"/>
          <w:lang w:eastAsia="zh-CN"/>
        </w:rPr>
        <w:t xml:space="preserve">北区养护区域</w:t>
      </w:r>
      <w:r>
        <w:rPr>
          <w:rFonts w:hint="eastAsia"/>
          <w:b/>
          <w:bCs/>
          <w:color w:val="000000"/>
          <w:highlight w:val="none"/>
          <w:lang w:eastAsia="zh-CN"/>
        </w:rPr>
      </w:r>
      <w:r/>
    </w:p>
    <w:p>
      <w:pPr>
        <w:pStyle w:val="1103"/>
        <w:ind w:firstLine="482"/>
        <w:spacing w:line="360" w:lineRule="auto"/>
        <w:rPr>
          <w:rFonts w:hint="eastAsia"/>
          <w:b/>
          <w:bCs/>
          <w:color w:val="000000"/>
          <w:highlight w:val="none"/>
          <w:lang w:eastAsia="zh-CN"/>
        </w:rPr>
      </w:pPr>
      <w:r>
        <w:rPr>
          <w:rFonts w:hint="eastAsia"/>
          <w:b/>
          <w:bCs/>
          <w:color w:val="000000"/>
          <w:highlight w:val="none"/>
          <w:lang w:eastAsia="zh-CN"/>
        </w:rPr>
        <mc:AlternateContent>
          <mc:Choice Requires="wpg">
            <w:drawing>
              <wp:inline xmlns:wp="http://schemas.openxmlformats.org/drawingml/2006/wordprocessingDrawing" distT="0" distB="0" distL="0" distR="0">
                <wp:extent cx="5753710" cy="4800333"/>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753710" cy="48003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0pt;height:378.0pt;mso-wrap-distance-left:0.0pt;mso-wrap-distance-top:0.0pt;mso-wrap-distance-right:0.0pt;mso-wrap-distance-bottom:0.0pt;" stroked="f">
                <v:path textboxrect="0,0,0,0"/>
                <v:imagedata r:id="rId23" o:title=""/>
              </v:shape>
            </w:pict>
          </mc:Fallback>
        </mc:AlternateContent>
      </w:r>
      <w:r>
        <w:rPr>
          <w:rFonts w:hint="eastAsia"/>
          <w:b/>
          <w:bCs/>
          <w:color w:val="000000"/>
          <w:highlight w:val="none"/>
          <w:lang w:eastAsia="zh-CN"/>
        </w:rPr>
      </w:r>
      <w:r/>
    </w:p>
    <w:p>
      <w:pPr>
        <w:pStyle w:val="1103"/>
        <w:rPr>
          <w:color w:val="000000"/>
          <w:highlight w:val="none"/>
        </w:rPr>
      </w:pPr>
      <w:r>
        <w:rPr>
          <w:color w:val="000000"/>
          <w:highlight w:val="none"/>
        </w:rPr>
      </w:r>
      <w:r/>
    </w:p>
    <w:p>
      <w:pPr>
        <w:pStyle w:val="1103"/>
        <w:rPr>
          <w:rFonts w:hint="eastAsia"/>
          <w:color w:val="000000"/>
          <w:highlight w:val="none"/>
        </w:rPr>
      </w:pPr>
      <w:r>
        <w:rPr>
          <w:rFonts w:hint="eastAsia"/>
          <w:color w:val="000000"/>
          <w:highlight w:val="none"/>
        </w:rPr>
      </w:r>
      <w:r/>
    </w:p>
    <w:p>
      <w:pPr>
        <w:pStyle w:val="1023"/>
        <w:ind w:firstLine="482"/>
        <w:spacing w:line="360" w:lineRule="auto"/>
        <w:rPr>
          <w:rFonts w:hint="eastAsia" w:ascii="Symbol" w:hAnsi="Symbol" w:cs="Symbol"/>
          <w:b/>
          <w:bCs/>
          <w:color w:val="000000"/>
          <w:sz w:val="24"/>
          <w:highlight w:val="none"/>
        </w:rPr>
      </w:pPr>
      <w:r>
        <w:rPr>
          <w:rFonts w:hint="eastAsia" w:ascii="Symbol" w:hAnsi="Symbol" w:cs="Symbol"/>
          <w:b/>
          <w:bCs/>
          <w:color w:val="000000"/>
          <w:sz w:val="24"/>
          <w:highlight w:val="none"/>
        </w:rPr>
        <w:t xml:space="preserve">七、招标控制价编制说明</w:t>
      </w:r>
      <w:r>
        <w:rPr>
          <w:rFonts w:hint="eastAsia" w:ascii="Symbol" w:hAnsi="Symbol" w:cs="Symbol"/>
          <w:b/>
          <w:bCs/>
          <w:color w:val="000000"/>
          <w:sz w:val="24"/>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项目名称：</w:t>
      </w:r>
      <w:r>
        <w:rPr>
          <w:rFonts w:hint="eastAsia" w:eastAsia="宋体"/>
          <w:color w:val="000000"/>
          <w:highlight w:val="none"/>
          <w:lang w:eastAsia="zh-CN"/>
        </w:rPr>
        <w:t xml:space="preserve">2026-2028年度武进国家高新区市政维护项目</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1．编制时间：202</w:t>
      </w:r>
      <w:r>
        <w:rPr>
          <w:rFonts w:hint="eastAsia" w:eastAsia="宋体"/>
          <w:color w:val="000000"/>
          <w:highlight w:val="none"/>
          <w:lang w:val="en-US" w:eastAsia="zh-CN"/>
        </w:rPr>
        <w:t xml:space="preserve">5</w:t>
      </w:r>
      <w:r>
        <w:rPr>
          <w:rFonts w:hint="eastAsia" w:eastAsia="宋体"/>
          <w:color w:val="000000"/>
          <w:highlight w:val="none"/>
        </w:rPr>
        <w:t xml:space="preserve">年1</w:t>
      </w:r>
      <w:r>
        <w:rPr>
          <w:rFonts w:hint="eastAsia" w:eastAsia="宋体"/>
          <w:color w:val="000000"/>
          <w:highlight w:val="none"/>
          <w:lang w:val="en-US" w:eastAsia="zh-CN"/>
        </w:rPr>
        <w:t xml:space="preserve">2</w:t>
      </w:r>
      <w:r>
        <w:rPr>
          <w:rFonts w:hint="eastAsia" w:eastAsia="宋体"/>
          <w:color w:val="000000"/>
          <w:highlight w:val="none"/>
        </w:rPr>
        <w:t xml:space="preserve">月</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2．编制范围：</w:t>
      </w:r>
      <w:r>
        <w:rPr>
          <w:rFonts w:hint="eastAsia" w:eastAsia="宋体"/>
          <w:color w:val="000000"/>
          <w:highlight w:val="none"/>
          <w:lang w:eastAsia="zh-CN"/>
        </w:rPr>
        <w:t xml:space="preserve">2026-2028年度武进国家高新区市政维护项目</w:t>
      </w:r>
      <w:r>
        <w:rPr>
          <w:rFonts w:hint="eastAsia" w:eastAsia="宋体"/>
          <w:color w:val="000000"/>
          <w:highlight w:val="none"/>
        </w:rPr>
        <w:t xml:space="preserve">。养护范围：高新区范围内市政、路灯养护项目。具体内容包括：高新区范围内市政道路日常养护、桥梁日常养护、管网养护、路灯养护、高新区范围内道路专职巡视检查等，具体详见招标文件及工程量清单。</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3．编制依据：除暂定价及独立费以外，均执行《江苏省市政设施养护维修定额》（2013修订）及[2014]280号《江苏省市政设施养护维修定额取费标准》计算。适用范围根据定额各章节说明。</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4. 人工工资单价按（苏建函价〔202</w:t>
      </w:r>
      <w:r>
        <w:rPr>
          <w:rFonts w:hint="eastAsia" w:eastAsia="宋体"/>
          <w:color w:val="000000"/>
          <w:highlight w:val="none"/>
          <w:lang w:val="en-US" w:eastAsia="zh-CN"/>
        </w:rPr>
        <w:t xml:space="preserve">5</w:t>
      </w:r>
      <w:r>
        <w:rPr>
          <w:rFonts w:hint="eastAsia" w:eastAsia="宋体"/>
          <w:color w:val="000000"/>
          <w:highlight w:val="none"/>
        </w:rPr>
        <w:t xml:space="preserve">〕</w:t>
      </w:r>
      <w:r>
        <w:rPr>
          <w:rFonts w:hint="eastAsia" w:eastAsia="宋体"/>
          <w:color w:val="000000"/>
          <w:highlight w:val="none"/>
          <w:lang w:val="en-US" w:eastAsia="zh-CN"/>
        </w:rPr>
        <w:t xml:space="preserve">273</w:t>
      </w:r>
      <w:r>
        <w:rPr>
          <w:rFonts w:hint="eastAsia" w:eastAsia="宋体"/>
          <w:color w:val="000000"/>
          <w:highlight w:val="none"/>
        </w:rPr>
        <w:t xml:space="preserve">号）文计算。</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5．材料价格：按常州市202</w:t>
      </w:r>
      <w:r>
        <w:rPr>
          <w:rFonts w:hint="eastAsia" w:eastAsia="宋体"/>
          <w:color w:val="000000"/>
          <w:highlight w:val="none"/>
          <w:lang w:val="en-US" w:eastAsia="zh-CN"/>
        </w:rPr>
        <w:t xml:space="preserve">5</w:t>
      </w:r>
      <w:r>
        <w:rPr>
          <w:rFonts w:hint="eastAsia" w:eastAsia="宋体"/>
          <w:color w:val="000000"/>
          <w:highlight w:val="none"/>
        </w:rPr>
        <w:t xml:space="preserve">年1</w:t>
      </w:r>
      <w:r>
        <w:rPr>
          <w:rFonts w:hint="eastAsia" w:eastAsia="宋体"/>
          <w:color w:val="000000"/>
          <w:highlight w:val="none"/>
          <w:lang w:val="en-US" w:eastAsia="zh-CN"/>
        </w:rPr>
        <w:t xml:space="preserve">2</w:t>
      </w:r>
      <w:r>
        <w:rPr>
          <w:rFonts w:hint="eastAsia" w:eastAsia="宋体"/>
          <w:color w:val="000000"/>
          <w:highlight w:val="none"/>
        </w:rPr>
        <w:t xml:space="preserve">月份信息指导价除税价，未有的逐月前推，信息价中未包括的材料价格按市场价计算。</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6. 本养护工程涉及的设备等均按照原设备型号，</w:t>
      </w:r>
      <w:bookmarkStart w:id="287" w:name="_Hlk121300396"/>
      <w:r>
        <w:rPr>
          <w:rFonts w:hint="eastAsia" w:eastAsia="宋体"/>
          <w:color w:val="000000"/>
          <w:highlight w:val="none"/>
        </w:rPr>
        <w:t xml:space="preserve">技术参数参照相关设计要求。</w:t>
      </w:r>
      <w:bookmarkEnd w:id="287"/>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7．本招标控制价（清单）中的所有数量均为暂定数（年度包干数例外），结算按现场实际发生数量计。</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8．本工程采用一般计税方式，税金按9%计入。</w:t>
      </w:r>
      <w:r>
        <w:rPr>
          <w:rFonts w:hint="eastAsia" w:eastAsia="宋体"/>
          <w:color w:val="000000"/>
          <w:highlight w:val="none"/>
        </w:rPr>
      </w:r>
      <w:r/>
    </w:p>
    <w:p>
      <w:pPr>
        <w:pStyle w:val="1103"/>
        <w:ind w:firstLine="480"/>
        <w:spacing w:line="360" w:lineRule="auto"/>
        <w:rPr>
          <w:rFonts w:hint="eastAsia" w:eastAsia="宋体"/>
          <w:color w:val="000000"/>
          <w:highlight w:val="none"/>
        </w:rPr>
      </w:pPr>
      <w:r>
        <w:rPr>
          <w:rFonts w:hint="eastAsia" w:eastAsia="宋体"/>
          <w:color w:val="000000"/>
          <w:highlight w:val="none"/>
        </w:rPr>
        <w:t xml:space="preserve">9、本项目养护期限为202</w:t>
      </w:r>
      <w:r>
        <w:rPr>
          <w:rFonts w:hint="eastAsia" w:eastAsia="宋体"/>
          <w:color w:val="000000"/>
          <w:highlight w:val="none"/>
          <w:lang w:val="en-US" w:eastAsia="zh-CN"/>
        </w:rPr>
        <w:t xml:space="preserve">6</w:t>
      </w:r>
      <w:r>
        <w:rPr>
          <w:rFonts w:hint="eastAsia" w:eastAsia="宋体"/>
          <w:color w:val="000000"/>
          <w:highlight w:val="none"/>
        </w:rPr>
        <w:t xml:space="preserve">年至202</w:t>
      </w:r>
      <w:r>
        <w:rPr>
          <w:rFonts w:hint="eastAsia" w:eastAsia="宋体"/>
          <w:color w:val="000000"/>
          <w:highlight w:val="none"/>
          <w:lang w:val="en-US" w:eastAsia="zh-CN"/>
        </w:rPr>
        <w:t xml:space="preserve">8</w:t>
      </w:r>
      <w:r>
        <w:rPr>
          <w:rFonts w:hint="eastAsia" w:eastAsia="宋体"/>
          <w:color w:val="000000"/>
          <w:highlight w:val="none"/>
        </w:rPr>
        <w:t xml:space="preserve">年，共三年。本招标控制价为预估一年度的费用。</w:t>
      </w:r>
      <w:r>
        <w:rPr>
          <w:rFonts w:hint="eastAsia" w:eastAsia="宋体"/>
          <w:color w:val="000000"/>
          <w:highlight w:val="none"/>
        </w:rPr>
      </w:r>
      <w:r/>
    </w:p>
    <w:p>
      <w:pPr>
        <w:pStyle w:val="1023"/>
        <w:spacing w:line="420" w:lineRule="exact"/>
        <w:rPr>
          <w:rFonts w:ascii="宋体"/>
          <w:color w:val="000000"/>
          <w:sz w:val="24"/>
          <w:highlight w:val="none"/>
        </w:rPr>
      </w:pPr>
      <w:r>
        <w:rPr>
          <w:rFonts w:ascii="宋体"/>
          <w:color w:val="000000"/>
          <w:sz w:val="24"/>
          <w:highlight w:val="none"/>
        </w:rPr>
      </w:r>
      <w:r/>
    </w:p>
    <w:p>
      <w:pPr>
        <w:pStyle w:val="1023"/>
        <w:ind w:firstLine="482"/>
        <w:spacing w:line="360" w:lineRule="auto"/>
        <w:rPr>
          <w:rFonts w:hint="eastAsia" w:ascii="Symbol" w:hAnsi="Symbol" w:cs="Symbol"/>
          <w:b/>
          <w:bCs/>
          <w:color w:val="000000"/>
          <w:sz w:val="24"/>
          <w:highlight w:val="none"/>
        </w:rPr>
      </w:pPr>
      <w:r>
        <w:rPr>
          <w:rFonts w:hint="eastAsia" w:ascii="Symbol" w:hAnsi="Symbol" w:cs="Symbol"/>
          <w:b/>
          <w:bCs/>
          <w:color w:val="000000"/>
          <w:sz w:val="24"/>
          <w:highlight w:val="none"/>
        </w:rPr>
        <w:t xml:space="preserve">八、招标控制价</w:t>
      </w:r>
      <w:r>
        <w:rPr>
          <w:rFonts w:hint="eastAsia" w:ascii="Symbol" w:hAnsi="Symbol" w:cs="Symbol"/>
          <w:b/>
          <w:bCs/>
          <w:color w:val="000000"/>
          <w:sz w:val="24"/>
          <w:highlight w:val="none"/>
        </w:rPr>
      </w:r>
      <w:r/>
    </w:p>
    <w:p>
      <w:pPr>
        <w:pStyle w:val="1103"/>
        <w:spacing w:line="360" w:lineRule="auto"/>
        <w:rPr>
          <w:color w:val="000000"/>
          <w:highlight w:val="none"/>
        </w:rPr>
      </w:pP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 xml:space="preserve"> 本项目招标控制价为</w:t>
      </w:r>
      <w:r>
        <w:rPr>
          <w:rFonts w:hint="eastAsia"/>
          <w:color w:val="000000"/>
          <w:highlight w:val="none"/>
          <w:lang w:val="en-US" w:eastAsia="zh-CN"/>
        </w:rPr>
        <w:t xml:space="preserve">13437912.57</w:t>
      </w:r>
      <w:r>
        <w:rPr>
          <w:rFonts w:hint="eastAsia"/>
          <w:color w:val="000000"/>
          <w:highlight w:val="none"/>
        </w:rPr>
        <w:t xml:space="preserve">元/年。</w:t>
      </w:r>
      <w:r>
        <w:rPr>
          <w:color w:val="000000"/>
          <w:highlight w:val="none"/>
        </w:rPr>
      </w:r>
      <w:r/>
    </w:p>
    <w:tbl>
      <w:tblPr>
        <w:tblW w:w="9870"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88"/>
        <w:gridCol w:w="1313"/>
        <w:gridCol w:w="3006"/>
        <w:gridCol w:w="696"/>
        <w:gridCol w:w="899"/>
        <w:gridCol w:w="1026"/>
        <w:gridCol w:w="1452"/>
        <w:gridCol w:w="990"/>
      </w:tblGrid>
      <w:tr>
        <w:trPr>
          <w:trHeight w:val="630"/>
        </w:trPr>
        <w:tc>
          <w:tcPr>
            <w:gridSpan w:val="8"/>
            <w:tcW w:w="9870" w:type="dxa"/>
            <w:vAlign w:val="center"/>
            <w:textDirection w:val="lrTb"/>
            <w:noWrap w:val="false"/>
          </w:tcPr>
          <w:p>
            <w:pPr>
              <w:pStyle w:val="1023"/>
              <w:jc w:val="center"/>
              <w:keepLines w:val="0"/>
              <w:keepNext w:val="0"/>
              <w:widowControl/>
              <w:rPr>
                <w:rFonts w:ascii="黑体" w:hAnsi="宋体" w:eastAsia="黑体" w:cs="黑体"/>
                <w:b/>
                <w:bCs/>
                <w:i w:val="0"/>
                <w:iCs w:val="0"/>
                <w:color w:val="000000"/>
                <w:sz w:val="31"/>
                <w:szCs w:val="31"/>
                <w:highlight w:val="none"/>
                <w:u w:val="none"/>
              </w:rPr>
              <w:suppressLineNumbers w:val="0"/>
            </w:pPr>
            <w:r>
              <w:rPr>
                <w:rFonts w:hint="eastAsia" w:ascii="黑体" w:hAnsi="宋体" w:eastAsia="黑体" w:cs="黑体"/>
                <w:b/>
                <w:bCs/>
                <w:i w:val="0"/>
                <w:iCs w:val="0"/>
                <w:color w:val="000000"/>
                <w:sz w:val="31"/>
                <w:szCs w:val="31"/>
                <w:highlight w:val="none"/>
                <w:u w:val="none"/>
                <w:lang w:val="en-US" w:eastAsia="zh-CN" w:bidi="ar"/>
              </w:rPr>
              <w:t xml:space="preserve">报价明细表</w:t>
            </w:r>
            <w:r>
              <w:rPr>
                <w:rFonts w:ascii="黑体" w:hAnsi="宋体" w:eastAsia="黑体" w:cs="黑体"/>
                <w:b/>
                <w:bCs/>
                <w:i w:val="0"/>
                <w:iCs w:val="0"/>
                <w:color w:val="000000"/>
                <w:sz w:val="31"/>
                <w:szCs w:val="31"/>
                <w:highlight w:val="none"/>
                <w:u w:val="none"/>
              </w:rPr>
            </w:r>
            <w:r/>
          </w:p>
        </w:tc>
      </w:tr>
      <w:tr>
        <w:trPr>
          <w:trHeight w:val="760"/>
        </w:trPr>
        <w:tc>
          <w:tcPr>
            <w:gridSpan w:val="6"/>
            <w:tcW w:w="7428" w:type="dxa"/>
            <w:vAlign w:val="center"/>
            <w:textDirection w:val="lrTb"/>
            <w:noWrap w:val="false"/>
          </w:tcPr>
          <w:p>
            <w:pPr>
              <w:pStyle w:val="1023"/>
              <w:jc w:val="left"/>
              <w:keepLines w:val="0"/>
              <w:keepNext w:val="0"/>
              <w:widowControl/>
              <w:rPr>
                <w:rFonts w:ascii="新宋体" w:hAnsi="新宋体" w:eastAsia="新宋体" w:cs="新宋体"/>
                <w:i w:val="0"/>
                <w:iCs w:val="0"/>
                <w:color w:val="000000"/>
                <w:sz w:val="20"/>
                <w:szCs w:val="20"/>
                <w:highlight w:val="none"/>
                <w:u w:val="none"/>
              </w:rPr>
              <w:suppressLineNumbers w:val="0"/>
            </w:pPr>
            <w:r>
              <w:rPr>
                <w:rFonts w:hint="eastAsia" w:ascii="新宋体" w:hAnsi="新宋体" w:eastAsia="新宋体" w:cs="新宋体"/>
                <w:i w:val="0"/>
                <w:iCs w:val="0"/>
                <w:color w:val="000000"/>
                <w:sz w:val="20"/>
                <w:szCs w:val="20"/>
                <w:highlight w:val="none"/>
                <w:u w:val="none"/>
                <w:lang w:val="en-US" w:eastAsia="zh-CN" w:bidi="ar"/>
              </w:rPr>
              <w:t xml:space="preserve">工程名称：2026-2028年度武进国家高新区市政维护项目</w:t>
            </w:r>
            <w:r>
              <w:rPr>
                <w:rFonts w:ascii="新宋体" w:hAnsi="新宋体" w:eastAsia="新宋体" w:cs="新宋体"/>
                <w:i w:val="0"/>
                <w:iCs w:val="0"/>
                <w:color w:val="000000"/>
                <w:sz w:val="20"/>
                <w:szCs w:val="20"/>
                <w:highlight w:val="none"/>
                <w:u w:val="none"/>
              </w:rPr>
            </w:r>
            <w:r/>
          </w:p>
        </w:tc>
        <w:tc>
          <w:tcPr>
            <w:gridSpan w:val="2"/>
            <w:tcW w:w="244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序号</w:t>
            </w:r>
            <w:r>
              <w:rPr>
                <w:rFonts w:hint="eastAsia" w:ascii="新宋体" w:hAnsi="新宋体" w:eastAsia="新宋体" w:cs="新宋体"/>
                <w:b/>
                <w:bCs/>
                <w:i w:val="0"/>
                <w:iCs w:val="0"/>
                <w:color w:val="000000"/>
                <w:sz w:val="18"/>
                <w:szCs w:val="18"/>
                <w:highlight w:val="none"/>
                <w:u w:val="none"/>
              </w:rPr>
            </w:r>
            <w:r/>
          </w:p>
        </w:tc>
        <w:tc>
          <w:tcPr>
            <w:tcW w:w="1313"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项目编码</w:t>
            </w:r>
            <w:r>
              <w:rPr>
                <w:rFonts w:hint="eastAsia" w:ascii="新宋体" w:hAnsi="新宋体" w:eastAsia="新宋体" w:cs="新宋体"/>
                <w:b/>
                <w:bCs/>
                <w:i w:val="0"/>
                <w:iCs w:val="0"/>
                <w:color w:val="000000"/>
                <w:sz w:val="18"/>
                <w:szCs w:val="18"/>
                <w:highlight w:val="none"/>
                <w:u w:val="none"/>
              </w:rPr>
            </w:r>
            <w:r/>
          </w:p>
        </w:tc>
        <w:tc>
          <w:tcPr>
            <w:tcW w:w="3006"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项目名称</w:t>
            </w:r>
            <w:r>
              <w:rPr>
                <w:rFonts w:hint="eastAsia" w:ascii="新宋体" w:hAnsi="新宋体" w:eastAsia="新宋体" w:cs="新宋体"/>
                <w:b/>
                <w:bCs/>
                <w:i w:val="0"/>
                <w:iCs w:val="0"/>
                <w:color w:val="000000"/>
                <w:sz w:val="18"/>
                <w:szCs w:val="18"/>
                <w:highlight w:val="none"/>
                <w:u w:val="none"/>
              </w:rPr>
            </w:r>
            <w:r/>
          </w:p>
        </w:tc>
        <w:tc>
          <w:tcPr>
            <w:tcW w:w="696"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计量单位</w:t>
            </w:r>
            <w:r>
              <w:rPr>
                <w:rFonts w:hint="eastAsia" w:ascii="新宋体" w:hAnsi="新宋体" w:eastAsia="新宋体" w:cs="新宋体"/>
                <w:b/>
                <w:bCs/>
                <w:i w:val="0"/>
                <w:iCs w:val="0"/>
                <w:color w:val="000000"/>
                <w:sz w:val="18"/>
                <w:szCs w:val="18"/>
                <w:highlight w:val="none"/>
                <w:u w:val="none"/>
              </w:rPr>
            </w:r>
            <w:r/>
          </w:p>
        </w:tc>
        <w:tc>
          <w:tcPr>
            <w:tcW w:w="899"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工程数量</w:t>
            </w:r>
            <w:r>
              <w:rPr>
                <w:rFonts w:hint="eastAsia" w:ascii="新宋体" w:hAnsi="新宋体" w:eastAsia="新宋体" w:cs="新宋体"/>
                <w:b/>
                <w:bCs/>
                <w:i w:val="0"/>
                <w:iCs w:val="0"/>
                <w:color w:val="000000"/>
                <w:sz w:val="18"/>
                <w:szCs w:val="18"/>
                <w:highlight w:val="none"/>
                <w:u w:val="none"/>
              </w:rPr>
            </w:r>
            <w:r/>
          </w:p>
        </w:tc>
        <w:tc>
          <w:tcPr>
            <w:tcW w:w="1026" w:type="dxa"/>
            <w:vAlign w:val="center"/>
            <w:vMerge w:val="restart"/>
            <w:textDirection w:val="lrTb"/>
            <w:noWrap/>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综合单价</w:t>
            </w:r>
            <w:r>
              <w:rPr>
                <w:rFonts w:hint="eastAsia" w:ascii="新宋体" w:hAnsi="新宋体" w:eastAsia="新宋体" w:cs="新宋体"/>
                <w:b/>
                <w:bCs/>
                <w:i w:val="0"/>
                <w:iCs w:val="0"/>
                <w:color w:val="000000"/>
                <w:sz w:val="18"/>
                <w:szCs w:val="18"/>
                <w:highlight w:val="none"/>
                <w:u w:val="none"/>
              </w:rPr>
            </w:r>
            <w:r/>
          </w:p>
        </w:tc>
        <w:tc>
          <w:tcPr>
            <w:tcW w:w="1452"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合价</w:t>
            </w:r>
            <w:r>
              <w:rPr>
                <w:rFonts w:hint="eastAsia" w:ascii="新宋体" w:hAnsi="新宋体" w:eastAsia="新宋体" w:cs="新宋体"/>
                <w:b/>
                <w:bCs/>
                <w:i w:val="0"/>
                <w:iCs w:val="0"/>
                <w:color w:val="000000"/>
                <w:sz w:val="18"/>
                <w:szCs w:val="18"/>
                <w:highlight w:val="none"/>
                <w:u w:val="none"/>
              </w:rPr>
            </w:r>
            <w:r/>
          </w:p>
        </w:tc>
        <w:tc>
          <w:tcPr>
            <w:tcW w:w="990"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备注</w:t>
            </w:r>
            <w:r>
              <w:rPr>
                <w:rFonts w:hint="eastAsia" w:ascii="新宋体" w:hAnsi="新宋体" w:eastAsia="新宋体" w:cs="新宋体"/>
                <w:b/>
                <w:bCs/>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一</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拆除、土石方</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锯缝机锯缝【沥青砼路面锯缝；】</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1497</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12924.93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锯缝机锯缝【砼路面锯缝；】</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357</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7163.22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拆除路面【拆除沥青面层，厚10cm以内;】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8073.09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拆除路面【拆除沥青面层，每增减1cm;】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751.15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拆除路面【拆除无筋混凝土路面层及水稳基层,厚15CM;】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32.68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36601.22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拆除路面【拆除无筋混凝土路面层及水稳基层,每增减1CM;】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2334.65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拆除基层【拆除二灰碎石厚20CM;】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706</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25872.74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拆除基层【拆除二灰碎石;每增减1CM;】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893.38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拆除基层【拆除灰土基层厚35CM;】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47.12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10414.24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拆除基层【拆除灰土基层;每增减1CM;】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300.18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拆除人行道铺装面层【拆除混凝土预制板人行道,场地清理,不含废料外运;】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754.90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拆除人行道【拆除混凝土预制板人行道及砂浆垫层;】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2920.19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拆除人行道【拆除石质人行道板及水泥砂浆垫层，场地清理,不含废料外运;】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2818.41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拆除侧石【单独拆除预制侧石 、场地清理,不含废料外运;】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2581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10100.72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拆除平石【单独拆除预制平石 、场地清理,不含废料外运;】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224</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581.40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拆除侧石及垫层【单独拆除预制侧石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4440.00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拆除平石及垫层【单独拆除预制砼平石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968.29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拆除石质侧石及垫层【单独拆除石质侧石 水泥砂浆垫层：砼基座翻挖拆除、清底、旧料整理成堆、场地清理、不含废料外运;】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1921.38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拆除石质平石及垫层【单独拆除石质平石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949.46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拆除路面【铣刨机铣刨沥青路面,厚度1-5CM;】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801.50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拆除混凝土结构【拆除有筋混凝土基础及墙体等,场地清理,不含废料外运;】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8630.52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挖一般土方【反铲挖掘机1.0M3内(不装车)挖一、二类土;】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16.92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3383.62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挖一般土方【反铲挖掘机1.0M3内(不装车)挖三类土;】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20.75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28013.73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挖淤泥，外运【挖淤泥(淤质土,不含流质淤泥),装车外运3KM;】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15783.07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040101003001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人工挖灯杆基坑土方【人工挖灯杆基坑土方,三类土,深度2米以内;】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110.40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11039.81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挖沟槽土方【人工挖沟槽土方，挖土深度2M内,不外运;】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91.21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91207.18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040201001019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挖沟槽土方【机械挖沟槽土方,反铲挖掘机1.0M3(不装车)挖三类土;】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47338.44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沟槽填方【人工沟槽回填素土夯实;】</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56.98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113961.91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沟槽回填土【机械沟槽回填素土夯实;】</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37.43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74853.91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沟槽回填土【沟槽回填3%灰土夯实;】</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112.16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224319.65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余方弃置【路面绿地拆除物、建筑垃圾、装车外运3KM;场地清理;单方任务外运100M3以内(含100M3),人工装车70%,机械装车30%;】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67.94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81529.70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余方弃置【路面绿地拆除物、建筑垃圾、装车外运3KM;场地清理;单方任务外运100M3以外,人工装车30%,机械装车70%;】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83832.54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26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余方弃置【余土外运（自然堆积方）、路面绿地建土方及生活垃圾清运,装车外运3KM;场地清理;单方任务外运100M3以内(含100M3),人工装车70%,机械装车30%;】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6545.35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26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余方弃置【余土外运（自然堆积方）、路面绿地建土方及生活垃圾清运,装车外运3KM;场地清理;单方任务外运100M3以外,人工装车30%,机械装车70%;】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48.80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9760.86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余方弃置【余土外运（自然堆积方）、路面绿地建土方及生活垃圾清运,每增加一公里(外运3KM外)】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505.66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二</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路基</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石灰稳定土【20CM含灰量6%灰土，灰土土方为利用土方;】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34.70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3469.69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040201001029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石灰稳定土【6%每增减1cm，灰土土方为利用土方;】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173.48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石灰稳定土【20CM含灰量10%，灰土土方为利用土方;】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61.22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6121.72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石灰稳定土【10%厚度每增减1CM，灰土土方为利用土方;】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295.87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040202001001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水泥稳定碎石【水泥稳定碎石厂拌人铺厚度15CM;】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99.81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9981.42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水泥稳定碎石【水泥稳定碎石厂拌人铺厚度20CM;】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13561.39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716.80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强夯土方【路床碾压;】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11626.16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垫层【建筑垃圾铺设;单方任务外运100M3以内(含100M3);】</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107.59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垫层【建筑垃圾铺设;单方任务外运100M3以外;】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87.41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87414.73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5CM碎石垫层【5CM瓜子片铺设碾压;】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2229.75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10CM碎石垫层【10CM 2 4 6石子铺设碾压;】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4037.22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040202001002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碎石基层 【厚度每增加1cm;】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三</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路面</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040201001039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水泥混凝土【C30砼水泥混凝土路面,厚度20CM;】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153.00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550809.63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水泥混凝土【C30砼路面面层,每增减1CM;】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7.40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1479.33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040203007001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路面刻痕</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10.93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3280.07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040203005001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路面构造筋【钢筋除锈,安装;】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T</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7374.71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7374.71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040203005002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路面石油沥青灌缝【清除缝隙垃圾杂物,开槽,灌缝,清理;】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442.45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040203005003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路面裂缝填沥青砂【清除缝隙垃圾杂物,开槽,灌缝,清理;】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15.20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151.97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040203005004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路面裂缝填密封胶【清除缝隙垃圾杂物,开槽,灌缝,清理;】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285.91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沥青混凝土【沥青喷洒机喷洒结合油喷油量喷油量1KG/M2;】</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25215.79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稀浆封层【稀浆封层;】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35745.90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喷洒乳化沥青【路面喷洒乳化沥青，喷洒油量1kg/m2 乳化沥青;】</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19688.49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粗粒式沥青混凝土【粗粒式沥青混凝土路面 厚度5CM;】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110.60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331799.42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粗粒式沥青混凝土【粗粒式沥青混凝土每增减1CM;】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63301.71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中粒式沥青混凝土【中粒式沥青混凝土路面 厚度5CM;】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113.94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341805.04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中粒式沥青混凝土【中粒式沥青混凝土路面 厚度每增减1CM;】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21.75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65238.29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细粒式沥青混凝土3cm【细粒式AC-10（玄武岩）沥青混凝土路面：厚度3cm;】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95.87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287621.36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040201001049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细粒式沥青混凝土【细粒式AC-10（玄武岩）沥青混凝土路面：厚度每增减0.5cm;】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46195.32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细粒式沥青混凝土【细粒式（SMA）沥青混凝土路面：厚度3cm;】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55831.12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细粒式沥青混凝土增0.5cm【细粒式（SMA）沥青混凝土路面：厚度每增减0.5cm;】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18.05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9023.89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粗粒式沥青混凝土【修补(每处≤10m2)：粗粒式沥青混凝土路面 厚度5CM;】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123.79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284723.22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粗粒式沥青混凝土【修补(每处≤10m2)：粗粒式沥青混凝土每增减1CM;】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50387.20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中粒式沥青混凝土【修补(每处≤10m2)：中粒式沥青混凝土路面 厚度5CM;】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147.22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33860.57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中粒式沥青混凝土【修补(每处≤10m2)：中粒式沥青混凝土路面 厚度每增减1CM;】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5688.28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细粒式沥青混凝土3cm【修补(每处≤10m2)：细粒式AC-10（玄武岩）沥青混凝土路面：厚度3cm;】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108.47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206102.42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细粒式沥青混凝土【修补(每处≤10m2)：细粒式AC-10（玄武岩）沥青混凝土路面：厚度每增减0.5cm;】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30687.95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细粒式沥青混凝土【修补(每处≤10m2)：细粒式（SMA）沥青混凝土路面：厚度3cm;】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112.97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11296.67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040201001059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细粒式沥青混凝土增0.5cm【修补(每处≤10m2)：细粒式（SMA）沥青混凝土路面：厚度每增减0.5cm;】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18.21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1820.92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040202001003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玻纤格栅【铺设玻纤格栅;】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21.88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2188.06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四</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雨污水管道</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检查井升降【(Φ700MM) 筒： 每增0.5M;】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1004.02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10040.19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检查井升降【(Φ700MM) 筒： 每减0.5M;】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771.76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7717.64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更换井盖框【更换重型球墨铸铁框盖;规格综合考虑;】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1441.58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14415.76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更换井盖框【更换铸铁框钢纤维井盖;规格综合考虑;】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1111.05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11110.55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更换井盖框【更换B级钢纤维复合框盖;规格综合考虑;】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795.37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95443.97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雨水进水井【砖砌收水井升高50CM，内侧粉刷;】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447.58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22378.84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雨水进水井【砖砌收水井降低50CM，内侧粉刷;】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2959.06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更换进水井铸铁框盖【更换铸铁框盖;规格综合考虑;】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788.60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15772.04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更换钢纤维复合框盖进水井【更换钢纤维复合框盖;规格综合考虑;】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487.48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107245.23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砌筑井【砖砌检查井800*800*800mm,10cm碎石垫层+10cmC15垫层;内外粉刷;不含井盖;】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1428.61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28572.24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040201001069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清理收水井【清理收水井:清理收水井杂物，含垃圾装车,外运;】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179.33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17933.47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清理雨、污水检查井【人工清疏检查井（含安全设施）,垃圾物外运，投标者运距自定;】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212.69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21268.68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清理雨、污水检查井【机械清疏检查井（含安全设施）,垃圾物外运，投标者运距自定;】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219.68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21967.99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清理雨、污水检查井【潜水员水下作业清淤（含安全设施）,垃圾物外运，投标者运距自定;】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392.59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39258.63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更换D300砼管【100厚碎石垫层，120°管基座、铺设D300承插钢筋砼Ⅱ级管(不包括挖土，回填土）】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356.97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35697.49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更换D400砼管【100厚碎石垫层，120°管基座、铺设D400承插钢筋砼Ⅱ级管(不包括挖土，回填土）】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565.29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56529.09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更换D500砼管【100厚碎石垫层，120°管基座、铺设D500承插钢筋砼Ⅱ级管(不包括挖土，回填土）】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847.55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84754.63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更换D600砼管【100厚碎石垫层，120°管基座、铺设D600承插钢筋砼Ⅱ级管(不包括挖土，回填土）】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1105.65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110564.84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更换D800砼管【100厚碎石垫层，120°管基座、铺设D800承插钢筋砼Ⅱ级管(不包括挖土，回填土）】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2010.69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201068.67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更换D1000砼管【100厚碎石垫层，120°管基座、铺设D1000承插钢筋砼Ⅱ级管(不包括挖土，回填土）】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2842.23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284222.94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040201001079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更换D300砼管【铺设D300承插钢筋砼Ⅱ级管(不包括挖土，回填土）】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270.76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2707.57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更换D400砼管【铺设D400承插钢筋砼Ⅱ级管(不包括挖土，回填土）】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433.07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4330.66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更换D500砼管【铺设D500承插钢筋砼Ⅱ级管(不包括挖土，回填土）】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671.47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6714.66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更换D600砼管【铺设D600承插钢筋砼Ⅱ级管(不包括挖土，回填土）】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864.85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8648.54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更换D800砼管【铺设D800承插钢筋砼Ⅱ级管(不包括挖土，回填土）】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1676.67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16766.68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更换D1000砼管【铺设D1000承插钢筋砼Ⅱ级管(不包括挖土，回填土）】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2339.23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23392.32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砂包封【360°砂包封（见图集S01-2004/81）;】</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391.07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136873.31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更换D300PVC-U实壁管【更换D300PVC-U实壁管（S2级）;】</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436.04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43603.81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更换D400PVC-U实壁管【更换D400PVC-U实壁管（S2级）;】</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665.68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33284.17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更换D500PVC-U实壁管【更换D500PVC-U实壁管（S2级）:】</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1071.74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53587.25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040201001089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更换D600PVC-U实壁管【更换D600PVC-U实壁管（S2级）:】</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1658.74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49762.25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铺设D300PE实壁管【铺设D300PE实壁管;100SDR 1.0Mpa;】</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563.44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56343.50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铺设D400PE实壁管【铺设D400PE实壁管:100SDR 1.0Mpa;】</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918.10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27542.90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铺设D500PE实壁管【铺设D500PE实壁管:100SDR 1.0Mpa;】</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1127.46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33823.85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铺设D600PE实壁管【铺设D600PE实壁管:100SDR 1.0Mpa;】</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1339.70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40191.14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塑料管【HDPE双壁波纹管,橡胶圈承插接口,DN225,环刚度≥8KN/m2,详见06MS201-2/30;】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77.62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2328.73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塑料管【HDPE双壁波纹管,橡胶圈承插接口,DN300,环刚度≥8KN/m2,详见06MS201-2/30;】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141.65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4249.57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040501004003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塑料管【HDPE双壁波纹管,橡胶圈承插接口,DN400,环刚度≥8KN/m2,详见06MS201-2/30;】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245.88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7376.32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水平导向钻进【PE实壁管,牵引施工,DE110,PE100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223.39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22339.17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水平导向钻进【PE实壁管,牵引施工,De160,PE100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365.08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36508.43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水平导向钻进【PE实壁管,牵引施工,De200,PE100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482.22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48222.00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水平导向钻进【PE实壁管,牵引施工,De250,PE100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592.39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59238.95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水平导向钻进【PE实壁管,牵引施工,De300,PE100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844.08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84407.66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水平导向钻进【PE实壁管,牵引施工,管外径De450,PE100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1438.28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143828.16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040501008007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水平导向钻进【PE实壁管,牵引施工,管外径De560,PE100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2086.72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208672.41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040501006001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疏通管道【管径600以下管道疏通、人工清淤到装车处外运，运距投标单位自行考虑，含启闭井盖、疏通段落内排水等】</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34.24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34239.68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040501006002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疏通管道【管径600以上管道疏通、人工清淤到装车处外运，运距投标单位自行考虑，含启闭井盖、疏通段落内排水等】</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42.44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42443.21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041108002001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管道视频检测【新建管道CCTV视频检测、检测报告出具;】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21.67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216654.05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041108002002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管道视频检测【老管道CCTV视频检测（抽水冲管道）、检测报告出具;】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292906.59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五</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铺装</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铺设S型马路块【铺设S型马路块，含铺筑水泥砂浆；厚度综合考虑】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32268.14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铺设原马路块【铺设原马路块，含铺筑水泥砂浆】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铺设苏普洛克砖【铺设苏普洛克砖200*100*60 C30，苏普洛克砖厚度不同调整主材价格，含铺筑水泥砂浆；】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138.05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165657.64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铺设陶土砖【铺设陶土砖:"铺设陶土砖200*100*60 C30，陶土砖厚度不同调整主材价格，含铺筑水泥砂浆；】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138.05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13804.80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正六边形彩色道板人行道料铺设【铺正六边形彩色道板；含铺筑水泥砂浆，厚度综合考虑】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126.40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12640.17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040201001099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仿花岗岩条纹砖人行道块铺设【仿花岗岩条纹砖人行道块铺设；含铺筑水泥砂浆，厚度综合考虑】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16390.93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花岗岩人行道板铺设【铺3cm花岗岩人行道板；含铺筑水泥砂浆】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26707.22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花岗岩人行道板铺设【铺4cm花岗岩人行道板；含铺筑水泥砂浆】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32772.45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修复人行道板【修复人行道道板砖(利用原道板砖)；含铺筑水泥砂浆】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6973.01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人行道浇混凝土垫层【人行道细石砼垫层100mm C20；】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87823.56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铺设预制砼侧石【铺设预制砼侧石C30（280*120）,挖槽,铺砼基础,砼侧石铺设、场地清理;】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118.76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59381.50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铺设预制砼侧石【铺设预制砼侧石C30（280*150），挖槽,铺砼基础,砼侧石铺设、场地清理;】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119.18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238359.80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铺设预制砼平石【铺设预制砼平石C30（240*100）,挖槽、铺砼基础，砼平石铺设，场地清理;】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96.25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48125.17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铺设花岗岩侧石【铺设花岗岩侧石603#（280*120）,挖槽、铺砼基础、花岗岩侧石铺设、场地清理;】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208.61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104305.95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铺设花岗岩侧石【铺设花岗岩侧石603#（280*150）,挖槽、铺砼基础、花岗岩侧石铺设、场地清理;】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245.49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122743.73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铺设花岗岩平石【铺设花岗岩平石603#（240*100）,挖槽、铺砼基础、花岗岩平石铺设、场地清理;】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15871.83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铺设花岗岩进水侧石【铺设603#花岗岩进水侧石（280*120）,挖槽、铺基础、进水侧石铺设、场地清理；材质规格不同，调整主材】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266.88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26688.39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铺设花岗岩进水侧石【铺设603#花岗岩进水侧石（280*150）,挖槽、铺基础、进水侧石铺设、场地清理；材质规格不同，调整主材】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294.32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29431.87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安砌原侧石【恢复侧石:利用原侧石,浇砼基础；】</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51.10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5110.40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修复平石【修复平石:利用原平石,浇砼基础；】</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44.04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4404.36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六</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桥梁零星</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砼垫层【C20混凝土垫层；】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731.74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73174.20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油漆【混凝土栏杆乳胶漆二遍；】</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1781.92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油漆【金属栏杆油漆；】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136.02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1360.17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更换花岗岩栏杆【更换花岗岩栏杆；花岗岩栏杆高度综合考虑；不包含原花岗岩栏杆拆除外运】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1882.78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18827.79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浆砌块料【M10水泥砂浆浆砌块石挡土墙；】</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820.17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8201.65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挡墙混疑土压顶【现浇C20砼压顶(包括模板)；】</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1238.55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12385.46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040305004001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砖砌体【维修砖石砌体 砖结构;】</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1370.86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2741.73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040305004002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砖砌体【墙面粉刷砂浆做面;】</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41.35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413.54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040303001001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混凝土垫层【C25砼驳岸垫层,含模板;】</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798.70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7987.02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040303002001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混凝土基础及墙身【C25砼驳岸基础及挡墙;含模板;】</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920.34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18406.85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040306001001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泄水管【PVC-U硬聚氯乙烯管  dn110;】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70.63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706.31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七</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机械、人工</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锯缝机【锯缝机台班】</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255.10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2551.03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履带式液压岩石破碎机【履带式液压岩石破碎机(HB20G)】</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1490.89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14908.92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风动凿岩机(手持式)【风动凿岩机(手持式)】</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250.95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推土机【履带式推土机(75KW以内)】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1135.02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11350.20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推土机【履带式推土机(105KW以内)】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1301.11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13011.08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履带式挖掘机【履带式单斗挖掘机(液压1M3)】</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1733.82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17338.24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履带式挖掘机【履带式单斗挖掘机(液压0.6M3)】</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965.91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9659.06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汽车式起重机【汽车式起重机(8T)】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967.83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4839.14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汽车式起重机【汽车式起重机(12T)】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1130.84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5654.19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汽车式起重机【汽车式起重机(16T)】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1319.76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6598.80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040201001119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汽车式起重机【汽车式起重机(25T)】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1516.34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7581.68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汽车式起重机【汽车式起重机(50T)】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3566.06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17830.32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抽水泵【离心清水泵(Φ50MM）,含动力燃油或电】</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20172.63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抽水泵【离心清水泵(Φ100MM）,含动力燃油或电】</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抽水泵【离心清水泵(Φ150MM）,含动力燃油或电】</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228.62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22862.31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抽水泵【离心清水泵(Φ200MM）,含动力燃油或电】</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295.87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29586.52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载重汽车【载重汽车(2T)】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030104003006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自卸汽车【自卸汽车(2T)】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自卸汽车(4T)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506.70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5066.96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自卸汽车(6T)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919.91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9199.12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自卸汽车(8T)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1022.27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10222.68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040101001001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叉车【5t;】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318.07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3180.69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柴油发电机(15KW)</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591.73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5917.30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柴油发电机(30KW)</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702.16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7021.55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040201001129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汽油发电机组(10KW)</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447.78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4477.79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040201001130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联合疏通车2.5t</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725.19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7251.93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040201001131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机械进出场【挖掘机、推土机等履带式大型机械进出场费】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次</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941.39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28241.68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040210011001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零星人工 </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工日</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255.52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25552.00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八</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路灯养护</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电缆保护管敷设RVG50【塑料管地埋敷设 RVG50;主材不计;】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4650.46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040803002002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电缆保护管敷设RVG65【塑料管地埋敷设 RVG65;主材不计;】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26654.77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040803002003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电缆保护管敷设RVG75【硬塑料管地埋敷设；RVG75;主材不计;】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13327.38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铜芯电缆敷设【拆除电缆;电缆截面35mm2以内;】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665.70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铜芯电缆敷设【电缆敷设;VV6*16MM2;主材不计;】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20172.63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铜芯电缆敷设【电缆敷设;VV6*25MM2;主材不计;】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 VV4*16;主材不计;】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2520.23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铜芯电缆敷设【电缆敷设;VV5*16MM2;主材不计;】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16380.18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040803001006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铜芯电缆敷设【电缆敷设;VV5*25MM2;主材不计;】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3276.04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040803006001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电力电缆中间头制安【16平方以下压铜接线端子;】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11.53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576.26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040803006002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电力电缆中间头制安【16平方以上干包式电力电缆中间头制安;】</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11641.62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040803005001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电力电缆终端头制安【16平方以上干包式电力电缆终端头制安;】</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17265.08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BVVB2*2.5MM2以内;】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1026.11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040804002002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BVR 4MM2以内;】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586.35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040804002003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BVR10MM2以内;】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13.26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663.01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614.73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6147.27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800.54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8005.44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983.55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98355.02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1121.99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56099.41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2623.91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52478.16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040806001001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接地装置【角钢接地极;接地装置调试，不含接地极主材】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根</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95.65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2869.35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040804005001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母线【接地母线敷设BVR-25】</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3291.50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26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常规照明灯【太阳能庭院灯40W(灯头:580mm一体铝压铸，PC压铸条纹灯罩，普瑞5050芯片，功率30W，12V/30AH三元锂电池，18V50W，五路铜线单晶硅,寿命20年;】</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77731.87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立路灯杆12M内【安装金属杆 单杆式12M以内;(包括灯杆费);】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2560.49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5120.97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立路灯杆10M内【立金属杆 单杆式10M以内安装;(不包括灯杆费);】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137.51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13751.01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立路灯杆15M内【安装金属杆 单杆式15M以内;(不包括灯杆费);】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212.05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21205.47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040805003003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立路灯杆20M内【安装金属杆 单杆式20M以内;(不包括灯杆费);】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700.45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21013.43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041001010001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拆路灯杆10M内【拆除金属杆 单杆式10M以内;】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114.04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11404.26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041001010002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拆路灯杆15M内【拆除金属杆 单杆式15M以内;】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184.47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18447.20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041001010003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拆路灯杆20M内【拆除金属杆 单杆式20M以内;】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414.64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12439.25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路灯灯杆调正</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26.90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1344.84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041001010004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拆除单臂悬挑灯架抱杆式【单抱箍】</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174.44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8721.97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041001010005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安装单臂悬挑灯架抱杆式【单抱箍;主材不计】</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286.41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14320.55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040801011001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安装时间控制器【时间控制器理换,安装;不计主材;】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54.51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545.06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配电板安装【挂线板安装；】</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103.08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5154.11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拆除LED灯具【拆除LED灯具;】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52.89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52892.64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安装LED灯具【安装LED灯具;不计主材;】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123859.95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安装投光灯【安装投光灯;不计主材;】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4136.06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路灯高架工程车(14M)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811.06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40553.04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路灯高架工程车(20M)</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1195.91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59795.71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041001008001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破除路灯素砼包封</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13.99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4195.91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040803004001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路灯灯脚包封【C20混凝土路灯灯脚包封】</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33.70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10110.52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040804004003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路灯杆检修门【焊割灯门,补装灯门】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011503003001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塑料栏杆、栏板【路灯变箱式变安全护栏;高度综合考虑】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322.76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64552.42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011405001001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金属面油漆【路灯箱式变外壳喷漆翻新;】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104.90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1048.98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011405001002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箱变喷迷彩色（金属漆）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104.90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20979.54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040807004001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照度测试 【道路宽度40M以下】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区域</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675.22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675.22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其他砌筑井【砖砌矩形检查井规格1100*1100mm井深1m以内;钢纤维井框盖】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2571.49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257148.58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010501006001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设备基础【电柜基础；500*800*1200(不含挖土,填土)】</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445.94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22296.81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040804004004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路灯设施编号【路灯设施编号(铝牌);】</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9541.65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040504001003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其他砌筑井【砖砌矩形检查井规格600*600mm井深1m以内;钢纤维井框盖】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1431.72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71585.94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040504001004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其他砌筑井【砖砌矩形检查井规格750*750mm井深2m以内;钢纤维井框盖】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2790.39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139519.29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040504001005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其他砌筑井【砖砌圆形检查井规格直径750mm井深2m以内;钢纤维井框盖】</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2391.90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119594.78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更换保险丝</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4303.49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更换钻石灯接触器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更换继电器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1102.77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220554.09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更换刀闸</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13448.42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040801027006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更换配电房高压令克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040801029001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更换32A漏电开关</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43.03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8606.99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040801009001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不锈钢配电箱，按照原设备型号，参数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1075.87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040801009002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不锈钢接线箱300*400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753.11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15062.23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040801010001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不锈钢防雨箱</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753.11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15062.23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040801001008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更换变压器，按照原设备型号，参数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040805001011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LED灯模块，按照原设备型号，参数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011615001001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机械开孔DN100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134.48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1344.84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011615001002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投光灯灯头支架喷塑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030411002001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金属线槽，按照原设备型号，参数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010801006001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防雨型挂锁</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把</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806.91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031301002001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补角灯螺栓拆除气割</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项</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80.69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040801017001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无线发射器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531.21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5312.13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040205020001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监控探头inlink</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1317.95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65897.26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030507008001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监控摄像设备【400W一体化网络摄像机；HIC-S214;】</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2677.00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26770.02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030501005001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电源【监控专用电源;】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47.20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472.04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030501005002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电源【枪机安装支架;】</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030501012001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交换机【网络交换机;按照原设备型号，参数】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1463.01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7315.07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030504003001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通讯接口输入输出设备【光纤收发器;一光四电百兆交换机/单模单芯/20公里,按设计要求;】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030504003002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通讯接口输入输出设备【光纤收发器;一光一电百兆交换机/单模单芯/20公里,按设计要求;】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5379.37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030904008001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模块（模块箱）【千兆光纤模块;按照原设备型号，参数】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828.45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8284.50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030506007001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视频系统设备【存储费用;NVR216;含硬盘,按设计要求;按照原设备型号，参数】</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26896.84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26896.84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030502007001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光缆【8芯单模光纤;】</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18962.27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030502014001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光纤连接【光缆熔接;】</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点</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4706.95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040801033001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路灯控制器【安装路灯控制器;】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3362.11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040801033002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箱变控制器【安装箱变控制器;】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040801033003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德力西时间控制器【安装德力西时间控制器;】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268.97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040801033004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真空断路器【安装真空断路器,施耐德NSZ100H 3P;】</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九</w:t>
            </w: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专项</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080807013001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管道封堵【雨水管道管径600以下，封堵、拆除、外运;】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12103.58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080807013002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管道封堵【雨水管道管径600以上，封堵、拆除、外运;】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18155.37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080807013003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管道封堵【污水管道（管径综合考虑），封堵、拆除、外运;】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18155.37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080807013004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管道封堵【蛙人潜水作业,封堵、拆除、外运（管径综合考虑）;】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6051.79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60517.89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041104003001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施工护栏【安全围栏搭拆,高度2.2米,满足交通安全要求;高度不同按比例调整;】</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 </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34965.89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57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041108002003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高新区专职巡查费用【专职高新区内巡视检查、记录并上报情况、设置必要的安全警示标志（含两人一车365天24小时巡视,网络巡查及现场巡查,人员、设备必须符合建设方要求,年度包干费用,不可竞争费;】</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项</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309313.66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309313.66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清理、维修泵站及截流井（平面尺寸2.0*2.0以上）;</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11431.16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68586.94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040504002002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泵站、调蓄池维护保养</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座*年</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4841.43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48414.31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040504002003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截流井维护保养</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座*年</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24207.16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花岗岩树池铺设【铺设花岗岩树池（规格综合考虑）,挖槽、铺砼基础、花岗岩侧石铺设、场地清理;】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128.23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64115.34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010101001001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场地平整</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9333.20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041104001001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钢板租赁</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块*天</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6724.21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040205018001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警示柱【安装D110钢管警示桩;】</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根</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1748.29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041108002004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机器人视频检测【机器人视频检测；】</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2204.92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44098.45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040201001132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更换盖板【更换不锈钢包边电力井盖板（规格500*1440*150）;】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1462.14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73106.96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040201001133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更换盖板【更换不锈钢包边电力井盖板（规格500*1740*150）;】</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1759.93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87996.37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080807013005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人工拆除【人工拆除管道闷头（管径综合考虑）;】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040103002001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土方外购【土方外购;】</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59173.05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040201001134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沥青摊铺【冷铺沥青补坑洞;】</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3489.66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69793.27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040204003010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砼路面零星修补【修补零星砼（C30）路面、零星砼坑洞;】</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11431.16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零星道板修补【零星砼预制道板修补（规格综合考虑）;】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211.14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10557.01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040204002002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零星道板修补【零星花岗岩道板修补（规格综合考虑）;】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430.35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零星侧、平石修补【零星砼预制侧、平石修补（规格综合考虑）;】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18827.79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040204004002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零星侧、平石修补【零星花岗岩侧、平石修补（规格综合考虑）;】</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326.80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32679.66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040801016001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真空交流接触器【63A ;含主材;】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1025.28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102528.06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单灯控制器【含接口，通信费，含主材;技术参数参照相关设计要求。】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390.00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780008.36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040801024002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双灯控制器【含接口，通信费，含主材;技术参数参照相关设计要求。】</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423.63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338900.18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景观灯电源【S-500-12；含主材;】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356.38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53457.47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景观灯电源【S-300-12；含主材;】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312.00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46800.50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LED灯具电源【150W；含主材;】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201726.30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LED灯具电源【180W；含主材;】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213.83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106914.94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草坪灯【220V,6W,H=0.6m；含主材;】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6293.86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埋地射灯【220V,6X1W,?85；含主材;】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2797.27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插泥射灯【220V,9X2W,?120；含主材;】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29048.59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26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LED灯具电源【LED 120W;2模组;色温 4000K±300;整灯光效≥140LM，科锐芯片，英飞特调光电源;CSA-016国标模组及防水接口;防坠落钢丝绳配套;;】</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1008.63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50431.58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26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LED灯具电源【LED 180W;2模组;色温 4000K±300;整灯光效≥140LM，科锐芯片，英飞特调光电源;CSA-016国标模组及防水接口;防坠落钢丝绳配套;;】</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9682.86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011304001001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灯带【220V,5W/m；含主材;】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33736.71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030412004004</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迷彩线条灯【W39*H23*990mm ,12W,DC24V(RGBW外控16段、5050贴片三防灯珠、48株灯珠、IP65)；含主材;】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72.62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160348.20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电源【400W/24V；防雨型；含主材;】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166.76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15341.96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030414003001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漏电保护【63A 3P；含主材;】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110.28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5072.74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030404022001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景观照明智能回路控制器【ST-LCS04；含主材;】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1629.95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3259.90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030412004005</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洗墙灯【1米/24W/3000K(单色、飞利浦lumiles 3030芯片、18珠灯珠、IP65)；含主材;】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条</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204</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199.04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40603.47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45"/>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030412004006</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洗墙灯【0.5米/12W/3000K(单色、飞利浦lumiles 3030芯片、18珠灯珠、IP65)；含主材;】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条</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158.69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317.38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电源【HLG-320H-24A/24V；含主材;】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2797.27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030412004007</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投射灯【绿光φ205/24W/铝壳/12眼防水；含主材;】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329.49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4942.29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030412004008</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磨砂圆球玻璃灯罩【灯罩φ200；含主材;】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47.07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564.83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315</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磨砂圆球玻璃灯罩【灯罩φ250；含主材;】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316</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球灯【E27经济型5W/白光；含主材;】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56.48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847.25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317</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030412004011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投射灯支架【2*2.5镀锌扁铁；尺寸：210*10；含主材;】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504.32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318</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030412004012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景观灯模组【5054型/0.8W/个2.4W/组；含主材;】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组</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66800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89835.45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319</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031101007009</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模组电源【ERPE-400-24V；含主材;】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234.00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39078.42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320</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080901010001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智能断路器【MT06N1；含主材;按照原设备型号】</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40076.29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80152.58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321</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031101007010</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空气开关【德力西63A空气开关CDM3型壳断路器;】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336.21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1008.63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322</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031101007011</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空气开关【德力西125A空气开关CDM3型壳断路器;】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323</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031101007012</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空气开关【德力西100A空气开关CDM3型壳断路器;】</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376.56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753.11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30"/>
        </w:trPr>
        <w:tc>
          <w:tcPr>
            <w:tcW w:w="488"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324</w:t>
            </w:r>
            <w:r>
              <w:rPr>
                <w:rFonts w:hint="eastAsia" w:ascii="新宋体" w:hAnsi="新宋体" w:eastAsia="新宋体" w:cs="新宋体"/>
                <w:i w:val="0"/>
                <w:iCs w:val="0"/>
                <w:color w:val="000000"/>
                <w:sz w:val="18"/>
                <w:szCs w:val="18"/>
                <w:highlight w:val="none"/>
                <w:u w:val="none"/>
              </w:rPr>
            </w:r>
            <w:r/>
          </w:p>
        </w:tc>
        <w:tc>
          <w:tcPr>
            <w:tcW w:w="1313"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031101007013</w:t>
            </w:r>
            <w:r>
              <w:rPr>
                <w:rFonts w:hint="eastAsia" w:ascii="新宋体" w:hAnsi="新宋体" w:eastAsia="新宋体" w:cs="新宋体"/>
                <w:i w:val="0"/>
                <w:iCs w:val="0"/>
                <w:color w:val="000000"/>
                <w:sz w:val="18"/>
                <w:szCs w:val="18"/>
                <w:highlight w:val="none"/>
                <w:u w:val="none"/>
              </w:rPr>
            </w:r>
            <w:r/>
          </w:p>
        </w:tc>
        <w:tc>
          <w:tcPr>
            <w:tcW w:w="3006"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电源【HLG-320H-24A/24V;含主材;】</w:t>
            </w:r>
            <w:r>
              <w:rPr>
                <w:rFonts w:hint="eastAsia" w:ascii="新宋体" w:hAnsi="新宋体" w:eastAsia="新宋体" w:cs="新宋体"/>
                <w:i w:val="0"/>
                <w:iCs w:val="0"/>
                <w:color w:val="000000"/>
                <w:sz w:val="18"/>
                <w:szCs w:val="18"/>
                <w:highlight w:val="none"/>
                <w:u w:val="none"/>
              </w:rPr>
            </w:r>
            <w:r/>
          </w:p>
        </w:tc>
        <w:tc>
          <w:tcPr>
            <w:tcW w:w="69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470.69 </w:t>
            </w: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14120.84 </w:t>
            </w:r>
            <w:r>
              <w:rPr>
                <w:rFonts w:hint="eastAsia" w:ascii="新宋体" w:hAnsi="新宋体" w:eastAsia="新宋体" w:cs="新宋体"/>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5"/>
        </w:trPr>
        <w:tc>
          <w:tcPr>
            <w:tcW w:w="488"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313" w:type="dxa"/>
            <w:vAlign w:val="center"/>
            <w:textDirection w:val="lrTb"/>
            <w:noWrap w:val="false"/>
          </w:tcPr>
          <w:p>
            <w:pPr>
              <w:pStyle w:val="1023"/>
              <w:jc w:val="lef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3006"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合    计</w:t>
            </w:r>
            <w:r>
              <w:rPr>
                <w:rFonts w:hint="eastAsia" w:ascii="新宋体" w:hAnsi="新宋体" w:eastAsia="新宋体" w:cs="新宋体"/>
                <w:b/>
                <w:bCs/>
                <w:i w:val="0"/>
                <w:iCs w:val="0"/>
                <w:color w:val="000000"/>
                <w:sz w:val="18"/>
                <w:szCs w:val="18"/>
                <w:highlight w:val="none"/>
                <w:u w:val="none"/>
              </w:rPr>
            </w:r>
            <w:r/>
          </w:p>
        </w:tc>
        <w:tc>
          <w:tcPr>
            <w:tcW w:w="69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99"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26"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452" w:type="dxa"/>
            <w:vAlign w:val="center"/>
            <w:textDirection w:val="lrTb"/>
            <w:noWrap w:val="false"/>
          </w:tcPr>
          <w:p>
            <w:pPr>
              <w:pStyle w:val="1023"/>
              <w:jc w:val="right"/>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13437912.57 </w:t>
            </w:r>
            <w:r>
              <w:rPr>
                <w:rFonts w:hint="eastAsia" w:ascii="新宋体" w:hAnsi="新宋体" w:eastAsia="新宋体" w:cs="新宋体"/>
                <w:b/>
                <w:bCs/>
                <w:i w:val="0"/>
                <w:iCs w:val="0"/>
                <w:color w:val="000000"/>
                <w:sz w:val="18"/>
                <w:szCs w:val="18"/>
                <w:highlight w:val="none"/>
                <w:u w:val="none"/>
              </w:rPr>
            </w:r>
            <w:r/>
          </w:p>
        </w:tc>
        <w:tc>
          <w:tcPr>
            <w:tcW w:w="990"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300"/>
        </w:trPr>
        <w:tc>
          <w:tcPr>
            <w:gridSpan w:val="4"/>
            <w:tcW w:w="5503" w:type="dxa"/>
            <w:vAlign w:val="center"/>
            <w:textDirection w:val="lrTb"/>
            <w:noWrap/>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招标控制价</w:t>
            </w:r>
            <w:r>
              <w:rPr>
                <w:rFonts w:hint="eastAsia" w:ascii="新宋体" w:hAnsi="新宋体" w:eastAsia="新宋体" w:cs="新宋体"/>
                <w:i w:val="0"/>
                <w:iCs w:val="0"/>
                <w:color w:val="000000"/>
                <w:sz w:val="18"/>
                <w:szCs w:val="18"/>
                <w:highlight w:val="none"/>
                <w:u w:val="none"/>
              </w:rPr>
            </w:r>
            <w:r/>
          </w:p>
        </w:tc>
        <w:tc>
          <w:tcPr>
            <w:tcW w:w="899" w:type="dxa"/>
            <w:vAlign w:val="center"/>
            <w:textDirection w:val="lrTb"/>
            <w:noWrap/>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026" w:type="dxa"/>
            <w:vAlign w:val="center"/>
            <w:textDirection w:val="lrTb"/>
            <w:noWrap/>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1452" w:type="dxa"/>
            <w:vAlign w:val="center"/>
            <w:textDirection w:val="lrTb"/>
            <w:noWrap/>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13437912.57 </w:t>
            </w:r>
            <w:r>
              <w:rPr>
                <w:rFonts w:hint="eastAsia" w:ascii="新宋体" w:hAnsi="新宋体" w:eastAsia="新宋体" w:cs="新宋体"/>
                <w:b/>
                <w:bCs/>
                <w:i w:val="0"/>
                <w:iCs w:val="0"/>
                <w:color w:val="000000"/>
                <w:sz w:val="18"/>
                <w:szCs w:val="18"/>
                <w:highlight w:val="none"/>
                <w:u w:val="none"/>
              </w:rPr>
            </w:r>
            <w:r/>
          </w:p>
        </w:tc>
        <w:tc>
          <w:tcPr>
            <w:tcW w:w="990" w:type="dxa"/>
            <w:vAlign w:val="center"/>
            <w:textDirection w:val="lrTb"/>
            <w:noWrap/>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5"/>
        </w:trPr>
        <w:tc>
          <w:tcPr>
            <w:gridSpan w:val="8"/>
            <w:tcW w:w="9870" w:type="dxa"/>
            <w:vAlign w:val="center"/>
            <w:vMerge w:val="restart"/>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注：1、综合单价是指完成该项目所发生的的全部工作内容的单位费用，为全费用单价，含直接工程费（包括人工费、材料费、施工机械使用费）、措施费（包括环境保护费、文明施工费、安全施工费、临时设施费、夜间施工费、二次搬运费等）、间接费（工程排污费、社会保险费、住房公积金、管理费等）、利润、税金、风险等所有费用。</w:t>
            </w:r>
            <w:r>
              <w:rPr>
                <w:rFonts w:hint="eastAsia" w:ascii="新宋体" w:hAnsi="新宋体" w:eastAsia="新宋体" w:cs="新宋体"/>
                <w:i w:val="0"/>
                <w:iCs w:val="0"/>
                <w:color w:val="000000"/>
                <w:sz w:val="18"/>
                <w:szCs w:val="18"/>
                <w:highlight w:val="none"/>
                <w:u w:val="none"/>
              </w:rPr>
            </w:r>
            <w:r/>
          </w:p>
        </w:tc>
      </w:tr>
      <w:tr>
        <w:trPr>
          <w:trHeight w:val="225"/>
        </w:trPr>
        <w:tc>
          <w:tcPr>
            <w:gridSpan w:val="8"/>
            <w:tcW w:w="9870" w:type="dxa"/>
            <w:vAlign w:val="bottom"/>
            <w:textDirection w:val="lrTb"/>
            <w:noWrap/>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   2、以上报价均为一年度报价。</w:t>
            </w:r>
            <w:r>
              <w:rPr>
                <w:rFonts w:hint="eastAsia" w:ascii="新宋体" w:hAnsi="新宋体" w:eastAsia="新宋体" w:cs="新宋体"/>
                <w:i w:val="0"/>
                <w:iCs w:val="0"/>
                <w:color w:val="000000"/>
                <w:sz w:val="18"/>
                <w:szCs w:val="18"/>
                <w:highlight w:val="none"/>
                <w:u w:val="none"/>
              </w:rPr>
            </w:r>
            <w:r/>
          </w:p>
        </w:tc>
      </w:tr>
    </w:tbl>
    <w:p>
      <w:pPr>
        <w:pStyle w:val="1023"/>
        <w:spacing w:line="360" w:lineRule="auto"/>
        <w:rPr>
          <w:rFonts w:ascii="宋体" w:hAnsi="宋体" w:cs="宋体"/>
          <w:bCs/>
          <w:color w:val="000000"/>
          <w:sz w:val="24"/>
          <w:highlight w:val="none"/>
        </w:rPr>
      </w:pPr>
      <w:r>
        <w:rPr>
          <w:rFonts w:ascii="宋体" w:hAnsi="宋体" w:cs="宋体"/>
          <w:bCs/>
          <w:color w:val="000000"/>
          <w:sz w:val="24"/>
          <w:highlight w:val="none"/>
        </w:rPr>
      </w:r>
      <w:r/>
    </w:p>
    <w:p>
      <w:pPr>
        <w:pStyle w:val="1023"/>
        <w:jc w:val="center"/>
        <w:spacing w:line="360" w:lineRule="auto"/>
        <w:rPr>
          <w:b/>
          <w:color w:val="000000"/>
          <w:sz w:val="36"/>
          <w:szCs w:val="36"/>
          <w:highlight w:val="none"/>
        </w:rPr>
        <w:outlineLvl w:val="0"/>
      </w:pPr>
      <w:r>
        <w:rPr>
          <w:b/>
          <w:color w:val="000000"/>
          <w:sz w:val="36"/>
          <w:szCs w:val="36"/>
          <w:highlight w:val="none"/>
        </w:rPr>
      </w:r>
      <w:r/>
    </w:p>
    <w:p>
      <w:pPr>
        <w:pStyle w:val="1023"/>
        <w:jc w:val="center"/>
        <w:spacing w:line="360" w:lineRule="auto"/>
        <w:rPr>
          <w:b/>
          <w:color w:val="000000"/>
          <w:sz w:val="36"/>
          <w:szCs w:val="36"/>
          <w:highlight w:val="none"/>
        </w:rPr>
        <w:outlineLvl w:val="0"/>
      </w:pPr>
      <w:r>
        <w:rPr>
          <w:b/>
          <w:color w:val="000000"/>
          <w:sz w:val="36"/>
          <w:szCs w:val="36"/>
          <w:highlight w:val="none"/>
        </w:rPr>
        <w:br w:type="page" w:clear="all"/>
      </w:r>
      <w:r>
        <w:rPr>
          <w:b/>
          <w:color w:val="000000"/>
          <w:sz w:val="36"/>
          <w:szCs w:val="36"/>
          <w:highlight w:val="none"/>
        </w:rPr>
        <w:t xml:space="preserve">第六章   拟签订的合同文本</w:t>
      </w:r>
      <w:bookmarkEnd w:id="286"/>
      <w:r>
        <w:rPr>
          <w:b/>
          <w:color w:val="000000"/>
          <w:sz w:val="36"/>
          <w:szCs w:val="36"/>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根据《中华人民共和国政府采购法》、《中华人民共和国民法典》等法律法规的规定，甲、乙、</w:t>
      </w:r>
      <w:r>
        <w:rPr>
          <w:rFonts w:hint="eastAsia" w:ascii="宋体" w:hAnsi="宋体" w:cs="宋体"/>
          <w:color w:val="000000"/>
          <w:sz w:val="24"/>
          <w:highlight w:val="none"/>
          <w:lang w:val="en-US" w:eastAsia="zh-CN"/>
        </w:rPr>
        <w:t xml:space="preserve">丙（如有）各</w:t>
      </w:r>
      <w:r>
        <w:rPr>
          <w:rFonts w:hint="eastAsia" w:ascii="宋体" w:hAnsi="宋体" w:cs="宋体"/>
          <w:color w:val="000000"/>
          <w:sz w:val="24"/>
          <w:highlight w:val="none"/>
          <w:lang w:val="zh-CN"/>
        </w:rPr>
        <w:t xml:space="preserve">方按照本项目的采购结果签订本合同。</w:t>
      </w:r>
      <w:r>
        <w:rPr>
          <w:rFonts w:hint="eastAsia" w:ascii="宋体" w:hAnsi="宋体" w:cs="宋体"/>
          <w:color w:val="000000"/>
          <w:sz w:val="24"/>
          <w:highlight w:val="none"/>
        </w:rPr>
      </w:r>
      <w:r/>
    </w:p>
    <w:p>
      <w:pPr>
        <w:pStyle w:val="1023"/>
        <w:ind w:firstLine="482"/>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第一条　采购内容</w:t>
      </w:r>
      <w:r>
        <w:rPr>
          <w:rFonts w:hint="eastAsia" w:ascii="宋体" w:hAnsi="宋体" w:cs="宋体"/>
          <w:b/>
          <w:bCs/>
          <w:color w:val="000000"/>
          <w:sz w:val="24"/>
          <w:highlight w:val="none"/>
        </w:rPr>
      </w:r>
      <w:r/>
    </w:p>
    <w:p>
      <w:pPr>
        <w:pStyle w:val="1023"/>
        <w:ind w:firstLine="480"/>
        <w:spacing w:line="440" w:lineRule="exact"/>
        <w:rPr>
          <w:rFonts w:hint="eastAsia" w:ascii="宋体" w:hAnsi="宋体" w:cs="宋体"/>
          <w:color w:val="000000"/>
          <w:sz w:val="24"/>
          <w:highlight w:val="none"/>
          <w:u w:val="single"/>
        </w:rPr>
      </w:pPr>
      <w:r>
        <w:rPr>
          <w:rFonts w:hint="eastAsia" w:ascii="宋体" w:hAnsi="宋体" w:cs="宋体"/>
          <w:color w:val="000000"/>
          <w:sz w:val="24"/>
          <w:highlight w:val="none"/>
        </w:rPr>
        <w:t xml:space="preserve">1、项目名称（项目编号）： </w:t>
      </w:r>
      <w:r>
        <w:rPr>
          <w:rFonts w:hint="eastAsia" w:ascii="宋体" w:hAnsi="宋体" w:cs="宋体"/>
          <w:color w:val="000000"/>
          <w:sz w:val="24"/>
          <w:highlight w:val="none"/>
          <w:u w:val="single"/>
        </w:rPr>
      </w:r>
      <w:r/>
    </w:p>
    <w:p>
      <w:pPr>
        <w:pStyle w:val="102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2、服务范围：</w:t>
      </w:r>
      <w:r>
        <w:rPr>
          <w:rFonts w:hint="eastAsia" w:ascii="宋体" w:hAnsi="宋体" w:cs="宋体"/>
          <w:bCs/>
          <w:color w:val="000000"/>
          <w:sz w:val="24"/>
          <w:highlight w:val="none"/>
        </w:rPr>
        <w:t xml:space="preserve">武进国家高新区内市政道路、桥梁、管道、驳岸、路灯、景观照明等市政设施的巡查、维修、改建、新建、管护等项目内容（详见“合同附件”）。</w:t>
      </w:r>
      <w:r>
        <w:rPr>
          <w:rFonts w:hint="eastAsia" w:ascii="宋体" w:hAnsi="宋体" w:cs="宋体"/>
          <w:color w:val="000000"/>
          <w:sz w:val="24"/>
          <w:highlight w:val="none"/>
        </w:rPr>
      </w:r>
      <w:r/>
    </w:p>
    <w:p>
      <w:pPr>
        <w:pStyle w:val="102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bCs/>
          <w:color w:val="000000"/>
          <w:sz w:val="24"/>
          <w:highlight w:val="none"/>
        </w:rPr>
        <w:t xml:space="preserve">养护期限：</w:t>
      </w:r>
      <w:r>
        <w:rPr>
          <w:rFonts w:hint="eastAsia" w:ascii="宋体" w:hAnsi="宋体" w:cs="宋体"/>
          <w:color w:val="000000"/>
          <w:sz w:val="24"/>
          <w:highlight w:val="none"/>
        </w:rPr>
        <w:t xml:space="preserve">三年。</w:t>
      </w:r>
      <w:r>
        <w:rPr>
          <w:rFonts w:hint="eastAsia" w:ascii="宋体" w:hAnsi="宋体" w:cs="宋体"/>
          <w:color w:val="000000"/>
          <w:sz w:val="24"/>
          <w:highlight w:val="none"/>
        </w:rPr>
      </w:r>
      <w:r/>
    </w:p>
    <w:p>
      <w:pPr>
        <w:pStyle w:val="1023"/>
        <w:ind w:firstLine="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4、其他：</w:t>
      </w:r>
      <w:r>
        <w:rPr>
          <w:rFonts w:hint="eastAsia" w:ascii="宋体" w:hAnsi="宋体" w:cs="宋体"/>
          <w:color w:val="000000"/>
          <w:sz w:val="24"/>
          <w:highlight w:val="none"/>
        </w:rPr>
      </w:r>
      <w:r/>
    </w:p>
    <w:p>
      <w:pPr>
        <w:pStyle w:val="1023"/>
        <w:ind w:firstLine="482"/>
        <w:jc w:val="left"/>
        <w:spacing w:line="440" w:lineRule="exact"/>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第二条　合同总价款</w:t>
      </w:r>
      <w:r>
        <w:rPr>
          <w:rFonts w:hint="eastAsia" w:ascii="宋体" w:hAnsi="宋体" w:cs="宋体"/>
          <w:b/>
          <w:bCs w:val="0"/>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lang w:val="zh-CN"/>
        </w:rPr>
        <w:t xml:space="preserve">1、本合同</w:t>
      </w:r>
      <w:r>
        <w:rPr>
          <w:rFonts w:hint="eastAsia" w:ascii="宋体" w:hAnsi="宋体" w:cs="宋体"/>
          <w:color w:val="000000"/>
          <w:sz w:val="24"/>
          <w:highlight w:val="none"/>
        </w:rPr>
        <w:t xml:space="preserve">签订期：自   年   月  日至   年  月  日止。</w:t>
      </w:r>
      <w:r>
        <w:rPr>
          <w:rFonts w:hint="eastAsia" w:ascii="宋体" w:hAnsi="宋体" w:cs="宋体"/>
          <w:color w:val="000000"/>
          <w:sz w:val="24"/>
          <w:highlight w:val="none"/>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年度合同价格为：</w:t>
      </w:r>
      <w:r>
        <w:rPr>
          <w:rFonts w:hint="eastAsia" w:ascii="宋体" w:hAnsi="宋体" w:cs="宋体"/>
          <w:color w:val="000000"/>
          <w:sz w:val="24"/>
          <w:highlight w:val="none"/>
          <w:u w:val="single"/>
          <w:lang w:val="zh-CN"/>
        </w:rPr>
        <w:t xml:space="preserve">        元/年 </w:t>
      </w:r>
      <w:r>
        <w:rPr>
          <w:rFonts w:hint="eastAsia" w:ascii="宋体" w:hAnsi="宋体" w:cs="宋体"/>
          <w:color w:val="000000"/>
          <w:sz w:val="24"/>
          <w:highlight w:val="none"/>
          <w:lang w:val="zh-CN"/>
        </w:rPr>
        <w:t xml:space="preserve">（小写），</w:t>
      </w:r>
      <w:r>
        <w:rPr>
          <w:rFonts w:hint="eastAsia" w:ascii="宋体" w:hAnsi="宋体" w:cs="宋体"/>
          <w:color w:val="000000"/>
          <w:sz w:val="24"/>
          <w:highlight w:val="none"/>
          <w:lang w:val="zh-CN"/>
        </w:rPr>
      </w:r>
      <w:r/>
    </w:p>
    <w:p>
      <w:pPr>
        <w:pStyle w:val="1023"/>
        <w:ind w:firstLine="22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u w:val="single"/>
          <w:lang w:val="zh-CN"/>
        </w:rPr>
        <w:t xml:space="preserve">         元/年</w:t>
      </w:r>
      <w:r>
        <w:rPr>
          <w:rFonts w:hint="eastAsia" w:ascii="宋体" w:hAnsi="宋体" w:cs="宋体"/>
          <w:color w:val="000000"/>
          <w:sz w:val="24"/>
          <w:highlight w:val="none"/>
          <w:lang w:val="zh-CN"/>
        </w:rPr>
        <w:t xml:space="preserve">（大写）。</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以中标项目单价作为计量价格，项目清单中未列出项目，以审计部门确定的价格为准，服务量按年度进行审计、结算并以高新区审计部门确定的最终数据为准，并以此作为年度付款依据。</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color w:val="000000"/>
          <w:sz w:val="24"/>
          <w:highlight w:val="none"/>
          <w:lang w:val="zh-CN"/>
        </w:rPr>
        <w:t xml:space="preserve">3、本合同服务期限内合同价款不变，有另行规定的除外。</w:t>
      </w:r>
      <w:r>
        <w:rPr>
          <w:rFonts w:hint="eastAsia" w:ascii="宋体" w:hAnsi="宋体" w:cs="宋体"/>
          <w:bCs/>
          <w:color w:val="000000"/>
          <w:sz w:val="24"/>
          <w:highlight w:val="none"/>
          <w:lang w:val="zh-CN"/>
        </w:rPr>
        <w:t xml:space="preserve">按实结算项目的结算金额以项目完成后审计部门的审计结果作为结算依据。</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4、本合同价款采用固定单价合同方式确定。</w:t>
      </w:r>
      <w:r>
        <w:rPr>
          <w:rFonts w:hint="eastAsia" w:ascii="宋体" w:hAnsi="宋体" w:cs="宋体"/>
          <w:bCs/>
          <w:color w:val="000000"/>
          <w:sz w:val="24"/>
          <w:highlight w:val="none"/>
          <w:lang w:val="zh-CN"/>
        </w:rPr>
      </w:r>
      <w:r/>
    </w:p>
    <w:p>
      <w:pPr>
        <w:pStyle w:val="1023"/>
        <w:ind w:firstLine="72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固定单价合同在合同约定的风险范围内不可调整。</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5、合同价款中包括的风险范围：本项目实施期间的材料市场价格在一定范围内的风险，施工用水电均由中标单位自行解决。</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6、风险费用的计算方法： 含在投标报价中。 </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7、风险范围以外的内容：</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（1）施工期间主要材料价格涨跌超过±10%引起的价差；</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（2）施工期间发生的政策性调整；</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（3）发包人确认的其它费用。 </w:t>
      </w:r>
      <w:r>
        <w:rPr>
          <w:rFonts w:hint="eastAsia" w:ascii="宋体" w:hAnsi="宋体" w:cs="宋体"/>
          <w:bCs/>
          <w:color w:val="000000"/>
          <w:sz w:val="24"/>
          <w:highlight w:val="none"/>
          <w:lang w:val="zh-CN"/>
        </w:rPr>
      </w:r>
      <w:r/>
    </w:p>
    <w:p>
      <w:pPr>
        <w:pStyle w:val="1023"/>
        <w:ind w:firstLine="36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8、风险范围外调整方法：</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（1）服务量按实计量。</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（2）承包范围以外的附加服务量按以下办法结算：</w:t>
      </w:r>
      <w:r>
        <w:rPr>
          <w:rFonts w:hint="eastAsia" w:ascii="宋体" w:hAnsi="宋体" w:cs="宋体"/>
          <w:bCs/>
          <w:color w:val="000000"/>
          <w:sz w:val="24"/>
          <w:highlight w:val="none"/>
          <w:lang w:val="zh-CN"/>
        </w:rPr>
      </w:r>
      <w:r/>
    </w:p>
    <w:p>
      <w:pPr>
        <w:pStyle w:val="1023"/>
        <w:ind w:firstLine="84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①服务量由监理工程师及业主代表现场按实计量，并经跟踪审计部门审核的数量为结算依据。</w:t>
      </w:r>
      <w:r>
        <w:rPr>
          <w:rFonts w:hint="eastAsia" w:ascii="宋体" w:hAnsi="宋体" w:cs="宋体"/>
          <w:bCs/>
          <w:color w:val="000000"/>
          <w:sz w:val="24"/>
          <w:highlight w:val="none"/>
          <w:lang w:val="zh-CN"/>
        </w:rPr>
      </w:r>
      <w:r/>
    </w:p>
    <w:p>
      <w:pPr>
        <w:pStyle w:val="1023"/>
        <w:ind w:firstLine="84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②价格：投标报价中已有适用于变更项目的价格，按已有的价格计价；投标报价中只有类似于变更项目的价格，可参照类似价格计价；投标报价中无适用变更项目的价格（主要指不适用于本次养护招标价格的项目，套用现行《</w:t>
      </w:r>
      <w:r>
        <w:rPr>
          <w:rFonts w:hint="eastAsia" w:ascii="宋体" w:hAnsi="宋体" w:cs="宋体"/>
          <w:color w:val="000000"/>
          <w:sz w:val="24"/>
          <w:highlight w:val="none"/>
        </w:rPr>
        <w:t xml:space="preserve">江苏省市政设施养护维修定额</w:t>
      </w:r>
      <w:r>
        <w:rPr>
          <w:rFonts w:hint="eastAsia" w:ascii="宋体" w:hAnsi="宋体" w:cs="宋体"/>
          <w:bCs/>
          <w:color w:val="000000"/>
          <w:sz w:val="24"/>
          <w:highlight w:val="none"/>
          <w:lang w:val="zh-CN"/>
        </w:rPr>
        <w:t xml:space="preserve">》</w:t>
      </w:r>
      <w:r>
        <w:rPr>
          <w:rFonts w:hint="eastAsia" w:ascii="宋体" w:hAnsi="宋体" w:cs="宋体"/>
          <w:color w:val="000000"/>
          <w:sz w:val="24"/>
          <w:highlight w:val="none"/>
        </w:rPr>
        <w:t xml:space="preserve">（2013修订）及[2014]280号《江苏省市政设施养护维修定额取费标准》计算</w:t>
      </w:r>
      <w:r>
        <w:rPr>
          <w:rFonts w:hint="eastAsia" w:ascii="宋体" w:hAnsi="宋体" w:cs="宋体"/>
          <w:bCs/>
          <w:color w:val="000000"/>
          <w:sz w:val="24"/>
          <w:highlight w:val="none"/>
          <w:lang w:val="zh-CN"/>
        </w:rPr>
        <w:t xml:space="preserve">，并按投标优惠比例（中标价/标底价）下浮后作为最终结算价。</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（3）施工当月的主要材料价格（常州市信息指导价，品种详见项目标底中的主要材料表）与标底编制时（202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val="zh-CN"/>
        </w:rPr>
        <w:t xml:space="preserve">年1</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zh-CN"/>
        </w:rPr>
        <w:t xml:space="preserve">月份）常州市信息指导价相比，当施工期间主要建筑材料（沥青、混凝土、砂石料、道板砖）价格上涨或下降幅度在10%以内的，其差价由承包人承担或受益，超过10%的部分由发包人承担或受益，含量按定额计算。调整的主要材料差价按中标价/标底价的优惠幅度执行。</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（4）政策性调整按文件规定执行。</w:t>
      </w:r>
      <w:r>
        <w:rPr>
          <w:rFonts w:hint="eastAsia" w:ascii="宋体" w:hAnsi="宋体" w:cs="宋体"/>
          <w:bCs/>
          <w:color w:val="000000"/>
          <w:sz w:val="24"/>
          <w:highlight w:val="none"/>
          <w:lang w:val="zh-CN"/>
        </w:rPr>
      </w:r>
      <w:r/>
    </w:p>
    <w:p>
      <w:pPr>
        <w:pStyle w:val="1023"/>
        <w:ind w:firstLine="482"/>
        <w:jc w:val="left"/>
        <w:spacing w:line="440" w:lineRule="exact"/>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第三条　组成本合同的有关文件</w:t>
      </w:r>
      <w:r>
        <w:rPr>
          <w:rFonts w:hint="eastAsia" w:ascii="宋体" w:hAnsi="宋体" w:cs="宋体"/>
          <w:b/>
          <w:bCs w:val="0"/>
          <w:color w:val="000000"/>
          <w:sz w:val="24"/>
          <w:highlight w:val="none"/>
          <w:lang w:val="zh-CN"/>
        </w:rPr>
      </w:r>
      <w:r/>
    </w:p>
    <w:p>
      <w:pPr>
        <w:pStyle w:val="1023"/>
        <w:ind w:firstLine="480"/>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（1）招标文件；</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（2）投标文件；</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（3）中标通知书；</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（4）中标人在投标、评标过程中所作其它有关承诺、声明、书面澄清；</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（5）甲乙双方商定的其他文件等。</w:t>
      </w:r>
      <w:r>
        <w:rPr>
          <w:rFonts w:hint="eastAsia" w:ascii="宋体" w:hAnsi="宋体" w:cs="宋体"/>
          <w:color w:val="000000"/>
          <w:sz w:val="24"/>
          <w:highlight w:val="none"/>
          <w:lang w:val="zh-CN"/>
        </w:rPr>
      </w:r>
      <w:r/>
    </w:p>
    <w:p>
      <w:pPr>
        <w:pStyle w:val="1023"/>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第四条 甲方工作</w:t>
      </w:r>
      <w:r>
        <w:rPr>
          <w:rFonts w:hint="eastAsia" w:ascii="宋体" w:hAnsi="宋体" w:cs="宋体"/>
          <w:b/>
          <w:bCs/>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  施工场地具备开工时间和完成时间的要求：以不影响项目施工为原则。</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4.2  甲方配合乙方协调施工有关的生活用水、电和临时用地等事项。</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4.3  图纸会审和设计交底的时间：进场后7天内。</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4.4  施工场地周围建筑物和地下管线的保护要求：甲方提供现有的施工区域内专业管线图，组织专业管线协调会；如施工期间仍有损坏，甲方不予承担。</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4.5  水准点与坐标控制点位置提供和交验要求：提供水准点与坐标控制点，做好现场和书面的交桩工作。</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4.6  按照高新区有关规定对乙方的施工管理工作进行全面检查和监督。</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4.7  负责组织对本项目进行竣工验收，并对验收后乙方的项目保修工作进行检查和监督。</w:t>
      </w:r>
      <w:r>
        <w:rPr>
          <w:rFonts w:hint="eastAsia" w:ascii="宋体" w:hAnsi="宋体" w:cs="宋体"/>
          <w:color w:val="000000"/>
          <w:sz w:val="24"/>
          <w:highlight w:val="none"/>
        </w:rPr>
      </w:r>
      <w:r/>
    </w:p>
    <w:p>
      <w:pPr>
        <w:pStyle w:val="1023"/>
        <w:ind w:firstLine="482"/>
        <w:jc w:val="left"/>
        <w:spacing w:line="440" w:lineRule="exact"/>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第五条 乙方工作</w:t>
      </w:r>
      <w:r>
        <w:rPr>
          <w:rFonts w:hint="eastAsia" w:ascii="宋体" w:hAnsi="宋体" w:cs="宋体"/>
          <w:b/>
          <w:bCs/>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  提供计划、报表的名称、时间和份数：采用日报制，以电子邮件方式发送至甲方指定邮箱；每月25日前，提供本月度施工总结和下月度施工计划；每月25日前上报本月度的项目资料，报监理、审计和甲方签字确认；具体要求按照工地例会要求为准。</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5.2  施工安全防护工作要求：执行通用条款的相关规定，注重安全保障，加强施工区域安全防护措施，做好日常、季节性及夜间施工的影像记录，确保施工人员和其他人员的安全并承担相应费用，一切安全隐患、安全事故以及因此产生的费用均由承包方负责</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5.3 乙方在开发区设立办事机构，向甲方递交养护人员名单，中标养护单位必须成立独立的专职市政和路灯巡查班子，全年365天值班巡查，保持24小时畅通，并应建立完善的养护质量体系，为实施和完成巡查、检查、维修、材料供应、运行安全、内业整理等合同项目内容，除项目负责人外，还应配备技术熟练、经验丰富的各类专业技术人员和有能力进行养护维修管理、指导作业的工长以及适应合同内容需要的各类技术人员、各类熟练技工、半熟练技工和普工。甲方有权要求乙方撤换由其安排的那些工作不能胜任或玩忽职守、工作不负责的人员。</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5.4 乙方必须在开发区内有固定的办公室并配备必须的维修工具：包括固定的办公场地，拌和机、装载机、路灯高架车、小型汽车、卡车、清淤车、洒水车、疏通车、切割机、小型振动压路机、空压泵、平板震动器、夯实机、小型发电机、水准仪、防毒呼吸器、毒气检测设备、CCTV视频检测设备、铣刨机、铲雪板等维护必备的机械设备和安全、文明施工措施。以上场所和设施设备投标人应在合同签定一个月内准备齐全报甲方验收；若乙方一个月内准备不齐全的，甲方可追究乙方违约责任，没收履约保证金，终止合同，并承担由此给甲方造成的损失。</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5.5 乙方做好平时巡查工作，巡查养护区域，如发生情况（如缺少窨井盖、路面破损等），应及时进行养护施工，如乙方接到通知、举报后，必须在30分钟内到达现场做好警示标记，在24小时内开始养护施工，并按甲方要求在规定时间完成养护，养护情况做好记录进行反馈。一次未按时完成的，扣除违约金5000元；二次未及时完成的，扣除违约金10000元，同时招标人有权终止合同。</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5.6 为确保安全、文明施工，乙方在实施完成合同内容的整个项目中，应该：</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①、充分关注和保障所有现场工作人员和现场附近以及过往车辆、群众的安全，采取有效措施，使现场和本合同项目的实施有条不紊，以免使上述人员的安全受到威胁。</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②、采取一切合理措施保护现场内外的环境，避免由于施工操作引起的灰尘、有害气体、噪音对城市环境的污染，或其他原因造成人身伤害或财产损失。</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③、采取可靠措施，在确有必要时应办理相关的审批手续，保证原有交通的正常通行和沿路各种管线的正常使用。</w:t>
      </w:r>
      <w:r>
        <w:rPr>
          <w:rFonts w:hint="eastAsia" w:ascii="宋体" w:hAnsi="宋体" w:cs="宋体"/>
          <w:color w:val="000000"/>
          <w:sz w:val="24"/>
          <w:highlight w:val="none"/>
        </w:rPr>
      </w:r>
      <w:r/>
    </w:p>
    <w:p>
      <w:pPr>
        <w:pStyle w:val="1023"/>
        <w:ind w:firstLine="420"/>
        <w:jc w:val="left"/>
        <w:spacing w:line="440" w:lineRule="exact"/>
        <w:rPr>
          <w:rFonts w:hint="eastAsia" w:ascii="宋体" w:hAnsi="宋体" w:eastAsia="宋体" w:cs="宋体"/>
          <w:color w:val="000000"/>
          <w:sz w:val="24"/>
          <w:highlight w:val="none"/>
        </w:rPr>
      </w:pPr>
      <w:r>
        <w:rPr>
          <w:rFonts w:hint="eastAsia" w:ascii="宋体" w:hAnsi="宋体" w:cs="宋体"/>
          <w:color w:val="000000"/>
          <w:sz w:val="24"/>
          <w:highlight w:val="none"/>
        </w:rPr>
        <w:t xml:space="preserve">④、施工作业时必须落实照明、护栅、警示标志等安全防护设施，如更换窨井盖，</w:t>
      </w:r>
      <w:r>
        <w:rPr>
          <w:rFonts w:hint="eastAsia" w:ascii="宋体" w:hAnsi="宋体" w:eastAsia="宋体" w:cs="宋体"/>
          <w:color w:val="000000"/>
          <w:sz w:val="24"/>
          <w:highlight w:val="none"/>
        </w:rPr>
        <w:t xml:space="preserve">须落实照明、护栅、警示标志等，各特殊工种必须持证上岗，所有作业人员必须办理人身意外保险，禁止聘用童工或60岁（周岁）以上人员。</w:t>
      </w:r>
      <w:r>
        <w:rPr>
          <w:rFonts w:hint="eastAsia" w:ascii="宋体" w:hAnsi="宋体" w:eastAsia="宋体" w:cs="宋体"/>
          <w:color w:val="000000"/>
          <w:sz w:val="24"/>
          <w:highlight w:val="none"/>
        </w:rPr>
      </w:r>
      <w:r/>
    </w:p>
    <w:p>
      <w:pPr>
        <w:pStyle w:val="1023"/>
        <w:ind w:firstLine="420"/>
        <w:jc w:val="left"/>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在养护期内，如发生有关人身伤亡、罚款、索赔、损坏补偿、指控及其他一切责任均由乙方负责。</w:t>
      </w:r>
      <w:r>
        <w:rPr>
          <w:rFonts w:hint="eastAsia" w:ascii="宋体" w:hAnsi="宋体" w:eastAsia="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5.7 如果现场发生事故或突发事件时，一切责任均由乙方负责，养护单位应尽以最快方式报告甲方。</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5.8 乙方在作业过程中，应保持现场整洁。作业完毕后设备、剩余材料、垃圾以及各种临时设施应及时运走，否则，甲方可以委托他人将乙方的设备、剩余材料以及养护单位的其他财产觅地存放，以及委托他人清运垃圾、废料。因上述工作而发生的费用由乙方承担，从应付乙方的款项内扣除。</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5.9 乙方有义务配合甲方做好大型活动的服务及安全保障工作，重大活动期间和节假日应加强道路的巡查频率，确保道路完好，干净，交通畅通。</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5.10 对于乙方多次未完成甲方交办的任务，甲方保留处罚权；上级部门考核评比，国家、省、市各类创建检查活动中一旦失责任分，甲方视情节严重可有权清退养护人，不予支付承包款，并扣除履约保证金。</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5.11 项目质量要求：根据行业标准《城市道路养护技术规范》（CJJ36-90执行）、国家标准和合同约定的要求执行。</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5.12  按照区安监部门的要求乙方应主动与高新区规划建设局签订“项目施工保障市政设施安全协议”，并认真落实安全协议内容，保证施工安全。</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5.13按照“高新区市政项目土方施工管理要求”，乙方应按照要求对承接的土方项目向高新区规划建设局进行申报，批复后按照要求进行土方施工。</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5.12 乙方应当按照本合同约定履行义务，完成养护任务，不得向他人转包或分包养护项目。一经发现，发包人有权立即终止本合同，并全额扣除履约保证金，由此产生的法律责任和经济损失由乙方承担。</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5.13 如乙方在养护期间有多次违约行为或养护工作懈怠（累计五次或五次以上），甲方可单方面终止合同，由此而引起的一切责任及损失由乙方自负。</w:t>
      </w:r>
      <w:r>
        <w:rPr>
          <w:rFonts w:hint="eastAsia" w:ascii="宋体" w:hAnsi="宋体" w:cs="宋体"/>
          <w:color w:val="000000"/>
          <w:sz w:val="24"/>
          <w:highlight w:val="none"/>
        </w:rPr>
      </w:r>
      <w:r/>
    </w:p>
    <w:p>
      <w:pPr>
        <w:pStyle w:val="1023"/>
        <w:ind w:firstLine="360"/>
        <w:jc w:val="left"/>
        <w:spacing w:line="440" w:lineRule="exact"/>
        <w:rPr>
          <w:rFonts w:hint="eastAsia" w:ascii="宋体" w:hAnsi="宋体" w:cs="宋体"/>
          <w:color w:val="000000"/>
          <w:sz w:val="24"/>
          <w:highlight w:val="none"/>
          <w:lang w:val="zh-CN"/>
        </w:rPr>
      </w:pPr>
      <w:r>
        <w:rPr>
          <w:rFonts w:hint="eastAsia" w:ascii="宋体" w:hAnsi="宋体" w:cs="宋体"/>
          <w:bCs/>
          <w:color w:val="000000"/>
          <w:sz w:val="24"/>
          <w:highlight w:val="none"/>
          <w:lang w:val="zh-CN"/>
        </w:rPr>
        <w:t xml:space="preserve">5.14 </w:t>
      </w:r>
      <w:r>
        <w:rPr>
          <w:rFonts w:hint="eastAsia" w:ascii="宋体" w:hAnsi="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rPr>
          <w:rFonts w:hint="eastAsia" w:ascii="宋体" w:hAnsi="宋体" w:cs="宋体"/>
          <w:color w:val="000000"/>
          <w:sz w:val="24"/>
          <w:highlight w:val="none"/>
          <w:lang w:val="zh-CN"/>
        </w:rPr>
      </w:r>
      <w:r/>
    </w:p>
    <w:p>
      <w:pPr>
        <w:pStyle w:val="1023"/>
        <w:ind w:firstLine="360"/>
        <w:jc w:val="left"/>
        <w:spacing w:line="44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5.14丙方工作及职责（如有）：具体详见联合体协议书约定。</w:t>
      </w:r>
      <w:r>
        <w:rPr>
          <w:rFonts w:ascii="宋体" w:hAnsi="宋体" w:eastAsia="宋体" w:cs="宋体"/>
          <w:color w:val="000000"/>
          <w:sz w:val="24"/>
          <w:highlight w:val="none"/>
          <w:lang w:val="en-US" w:eastAsia="zh-CN"/>
        </w:rPr>
      </w:r>
      <w:r/>
    </w:p>
    <w:p>
      <w:pPr>
        <w:pStyle w:val="1023"/>
        <w:ind w:firstLine="420"/>
        <w:jc w:val="left"/>
        <w:spacing w:line="440" w:lineRule="exact"/>
        <w:rPr>
          <w:rFonts w:hint="eastAsia" w:ascii="宋体" w:hAnsi="宋体" w:cs="宋体"/>
          <w:b/>
          <w:bCs w:val="0"/>
          <w:color w:val="000000"/>
          <w:sz w:val="24"/>
          <w:highlight w:val="none"/>
        </w:rPr>
      </w:pPr>
      <w:r>
        <w:rPr>
          <w:rFonts w:hint="eastAsia" w:ascii="宋体" w:hAnsi="宋体" w:cs="宋体"/>
          <w:b/>
          <w:bCs w:val="0"/>
          <w:color w:val="000000"/>
          <w:sz w:val="24"/>
          <w:highlight w:val="none"/>
          <w:lang w:val="zh-CN"/>
        </w:rPr>
        <w:t xml:space="preserve">第六条 </w:t>
      </w:r>
      <w:r>
        <w:rPr>
          <w:rFonts w:hint="eastAsia" w:ascii="宋体" w:hAnsi="宋体" w:cs="宋体"/>
          <w:b/>
          <w:bCs w:val="0"/>
          <w:color w:val="000000"/>
          <w:sz w:val="24"/>
          <w:highlight w:val="none"/>
        </w:rPr>
        <w:t xml:space="preserve">工期与施工组织设计</w:t>
      </w:r>
      <w:r>
        <w:rPr>
          <w:rFonts w:hint="eastAsia" w:ascii="宋体" w:hAnsi="宋体" w:cs="宋体"/>
          <w:b/>
          <w:bCs w:val="0"/>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6.1 正式开工工期以业主发出开工令后第三天起算，项目达到竣工验收条件时，施工单位应向建设单位提交交工验收报告，由建设单位会同监理、质检等单位组织验收，验收期间不做工期累计。项目验收合格，则施工单位提交交工报告的当天即为竣工日期，如验收不合格返工，返工工期将作为工期累积。</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6.2 乙方提供施工组织设计（或施工方案）和进度计划的时间：合同签署7天内编制详细的施工组织设计和具体进度计划，报监理工程师批准。</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6.3 甲方代表批准的时间：收到施工组织设计7天内。</w:t>
      </w:r>
      <w:r>
        <w:rPr>
          <w:rFonts w:hint="eastAsia" w:ascii="宋体" w:hAnsi="宋体" w:cs="宋体"/>
          <w:color w:val="000000"/>
          <w:sz w:val="24"/>
          <w:highlight w:val="none"/>
        </w:rPr>
      </w:r>
      <w:r/>
    </w:p>
    <w:p>
      <w:pPr>
        <w:pStyle w:val="1023"/>
        <w:ind w:firstLine="420"/>
        <w:jc w:val="left"/>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6.4 除不可抗力因素外，本项目具备开工条件的必须按期完成。</w:t>
      </w:r>
      <w:r>
        <w:rPr>
          <w:rFonts w:hint="eastAsia" w:ascii="宋体" w:hAnsi="宋体" w:cs="宋体"/>
          <w:color w:val="000000"/>
          <w:sz w:val="24"/>
          <w:highlight w:val="none"/>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rPr>
        <w:t xml:space="preserve">6.5 因工期违约造成甲方其他损失的，乙方应承担相应的责任。</w:t>
      </w:r>
      <w:r>
        <w:rPr>
          <w:rFonts w:hint="eastAsia" w:ascii="宋体" w:hAnsi="宋体" w:cs="宋体"/>
          <w:color w:val="000000"/>
          <w:sz w:val="24"/>
          <w:highlight w:val="none"/>
          <w:lang w:val="zh-CN"/>
        </w:rPr>
      </w:r>
      <w:r/>
    </w:p>
    <w:p>
      <w:pPr>
        <w:pStyle w:val="1023"/>
        <w:ind w:firstLine="482"/>
        <w:jc w:val="left"/>
        <w:spacing w:line="440" w:lineRule="exact"/>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第七条　质量保证和售后服务</w:t>
      </w:r>
      <w:r>
        <w:rPr>
          <w:rFonts w:hint="eastAsia" w:ascii="宋体" w:hAnsi="宋体" w:cs="宋体"/>
          <w:b/>
          <w:bCs w:val="0"/>
          <w:color w:val="000000"/>
          <w:sz w:val="24"/>
          <w:highlight w:val="none"/>
          <w:lang w:val="zh-CN"/>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1、乙方应按招标文件规定的服务要求、技术要求、质量标准向甲方提供服务。</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2、质量保证：</w:t>
      </w:r>
      <w:r>
        <w:rPr>
          <w:rFonts w:hint="eastAsia" w:ascii="宋体" w:hAnsi="宋体" w:cs="宋体"/>
          <w:bCs/>
          <w:color w:val="000000"/>
          <w:sz w:val="24"/>
          <w:highlight w:val="none"/>
        </w:rPr>
        <w:t xml:space="preserve">合格。</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养护单位必须严格按照服务量清单、服务技术要求及有关服务施工规范、规格和标准施工，并无条件的接受建设单位委托的监理单位全方位、全过程的监督管理。</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承包人对养护服务响应时间及服务质量要求按武进城区市政设施养护管理办法执行。</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本项目过程中的一切安全责任全部由承包人负责并承担因此发生的全部费用。</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材料设备供应：由承包人负责采购（除甲供材外），但养护单位应服从发包人或监理组织的抽检、验收，不合格材料由发包人或监理标识后，承包人限时运出场外。</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3、</w:t>
      </w:r>
      <w:r>
        <w:rPr>
          <w:rFonts w:hint="eastAsia" w:ascii="宋体" w:hAnsi="宋体" w:cs="宋体"/>
          <w:bCs/>
          <w:color w:val="000000"/>
          <w:sz w:val="24"/>
          <w:highlight w:val="none"/>
        </w:rPr>
        <w:t xml:space="preserve">试验检测采取自检与抽检相结合的方式，除甲方委托检测单位按规范自检外，甲方可根据需要对项目进行一定频率的抽检用于验证自检结果。在试验检测过程中乙方应配合甲方及检测单位做好相应的工作。</w:t>
      </w:r>
      <w:r>
        <w:rPr>
          <w:rFonts w:hint="eastAsia" w:ascii="宋体" w:hAnsi="宋体" w:cs="宋体"/>
          <w:bCs/>
          <w:color w:val="000000"/>
          <w:sz w:val="24"/>
          <w:highlight w:val="none"/>
        </w:rPr>
      </w:r>
      <w:r/>
    </w:p>
    <w:p>
      <w:pPr>
        <w:pStyle w:val="1023"/>
        <w:ind w:firstLine="480"/>
        <w:jc w:val="left"/>
        <w:spacing w:line="440" w:lineRule="exact"/>
        <w:rPr>
          <w:rFonts w:hint="eastAsia" w:ascii="宋体" w:hAnsi="宋体" w:cs="宋体"/>
          <w:color w:val="000000"/>
          <w:sz w:val="24"/>
          <w:highlight w:val="none"/>
        </w:rPr>
      </w:pPr>
      <w:r>
        <w:rPr>
          <w:rFonts w:hint="eastAsia" w:ascii="宋体" w:hAnsi="宋体" w:cs="宋体"/>
          <w:bCs/>
          <w:color w:val="000000"/>
          <w:sz w:val="24"/>
          <w:highlight w:val="none"/>
          <w:lang w:val="zh-CN"/>
        </w:rPr>
        <w:t xml:space="preserve">4、</w:t>
      </w:r>
      <w:r>
        <w:rPr>
          <w:rFonts w:hint="eastAsia" w:ascii="宋体" w:hAnsi="宋体" w:cs="宋体"/>
          <w:color w:val="000000"/>
          <w:sz w:val="24"/>
          <w:highlight w:val="none"/>
        </w:rPr>
        <w:t xml:space="preserve">隐蔽项目和中间验收：凡下道工序覆盖上道工序的部位，乙方必须在下道工序施工前48小时内提出中间验收申请，监理人员24小时内到达现场；项目基础及主体完工时，应会同甲方、监理工程师、设计单位、质量监督站进行中间验收，经甲方、监理工程师、质量监督站复检合格后方能进入下道工序。中间验收部位按常州市武进区建筑项目质量监督部门的规定执行。</w:t>
      </w:r>
      <w:r>
        <w:rPr>
          <w:rFonts w:hint="eastAsia" w:ascii="宋体" w:hAnsi="宋体" w:cs="宋体"/>
          <w:color w:val="000000"/>
          <w:sz w:val="24"/>
          <w:highlight w:val="none"/>
        </w:rPr>
      </w:r>
      <w:r/>
    </w:p>
    <w:p>
      <w:pPr>
        <w:pStyle w:val="1023"/>
        <w:ind w:firstLine="480"/>
        <w:jc w:val="left"/>
        <w:spacing w:line="440" w:lineRule="exact"/>
        <w:rPr>
          <w:rFonts w:hint="eastAsia" w:ascii="宋体" w:hAnsi="宋体" w:cs="宋体"/>
          <w:bCs/>
          <w:color w:val="000000"/>
          <w:sz w:val="24"/>
          <w:highlight w:val="none"/>
        </w:rPr>
      </w:pPr>
      <w:r>
        <w:rPr>
          <w:rFonts w:hint="eastAsia" w:ascii="宋体" w:hAnsi="宋体" w:cs="宋体"/>
          <w:color w:val="000000"/>
          <w:sz w:val="24"/>
          <w:highlight w:val="none"/>
        </w:rPr>
        <w:t xml:space="preserve">5、</w:t>
      </w:r>
      <w:r>
        <w:rPr>
          <w:rFonts w:hint="eastAsia" w:ascii="宋体" w:hAnsi="宋体" w:cs="宋体"/>
          <w:bCs/>
          <w:color w:val="000000"/>
          <w:sz w:val="24"/>
          <w:highlight w:val="none"/>
          <w:lang w:val="zh-CN"/>
        </w:rPr>
        <w:t xml:space="preserve">售后服务：</w:t>
      </w:r>
      <w:r>
        <w:rPr>
          <w:rFonts w:hint="eastAsia" w:ascii="宋体" w:hAnsi="宋体" w:cs="宋体"/>
          <w:bCs/>
          <w:color w:val="000000"/>
          <w:sz w:val="24"/>
          <w:highlight w:val="none"/>
        </w:rPr>
      </w:r>
      <w:r/>
    </w:p>
    <w:p>
      <w:pPr>
        <w:pStyle w:val="1023"/>
        <w:ind w:firstLine="480"/>
        <w:spacing w:line="440" w:lineRule="exact"/>
        <w:tabs>
          <w:tab w:val="left" w:pos="210" w:leader="none"/>
          <w:tab w:val="left" w:pos="420" w:leader="none"/>
          <w:tab w:val="left" w:pos="115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招标文件、投标文件、合同条款及中标通知书，中标人在投标、评标过程中所作其它有关承诺、声明、书面澄清等均为合同不可分割的部分，与主合同具有同等法律效力。</w:t>
      </w:r>
      <w:r>
        <w:rPr>
          <w:rFonts w:hint="eastAsia" w:ascii="宋体" w:hAnsi="宋体" w:cs="宋体"/>
          <w:bCs/>
          <w:color w:val="000000"/>
          <w:sz w:val="24"/>
          <w:highlight w:val="none"/>
        </w:rPr>
      </w:r>
      <w:r/>
    </w:p>
    <w:p>
      <w:pPr>
        <w:pStyle w:val="1023"/>
        <w:ind w:firstLine="480"/>
        <w:spacing w:line="440" w:lineRule="exact"/>
        <w:tabs>
          <w:tab w:val="left" w:pos="210" w:leader="none"/>
          <w:tab w:val="left" w:pos="420" w:leader="none"/>
          <w:tab w:val="left" w:pos="1155"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6、其他：</w:t>
      </w:r>
      <w:r>
        <w:rPr>
          <w:rFonts w:hint="eastAsia" w:ascii="宋体" w:hAnsi="宋体" w:cs="宋体"/>
          <w:bCs/>
          <w:color w:val="000000"/>
          <w:sz w:val="24"/>
          <w:highlight w:val="none"/>
          <w:lang w:val="zh-CN"/>
        </w:rPr>
      </w:r>
      <w:r/>
    </w:p>
    <w:p>
      <w:pPr>
        <w:pStyle w:val="1023"/>
        <w:ind w:firstLine="480"/>
        <w:spacing w:line="440" w:lineRule="exact"/>
        <w:tabs>
          <w:tab w:val="left" w:pos="210" w:leader="none"/>
          <w:tab w:val="left" w:pos="420" w:leader="none"/>
          <w:tab w:val="left" w:pos="1155"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养护期间的每月底提供当月完成的工作量及相关签证资料送至跟踪审计单位预审。</w:t>
      </w:r>
      <w:r>
        <w:rPr>
          <w:rFonts w:hint="eastAsia" w:ascii="宋体" w:hAnsi="宋体" w:cs="宋体"/>
          <w:bCs/>
          <w:color w:val="000000"/>
          <w:sz w:val="24"/>
          <w:highlight w:val="none"/>
          <w:lang w:val="zh-CN"/>
        </w:rPr>
      </w:r>
      <w:r/>
    </w:p>
    <w:p>
      <w:pPr>
        <w:pStyle w:val="1023"/>
        <w:ind w:firstLine="480"/>
        <w:spacing w:line="440" w:lineRule="exact"/>
        <w:tabs>
          <w:tab w:val="left" w:pos="210" w:leader="none"/>
          <w:tab w:val="left" w:pos="420" w:leader="none"/>
          <w:tab w:val="left" w:pos="1155" w:leader="none"/>
        </w:tabs>
        <w:rPr>
          <w:rFonts w:hint="eastAsia" w:ascii="宋体" w:hAnsi="宋体" w:cs="宋体"/>
          <w:bCs/>
          <w:color w:val="000000"/>
          <w:sz w:val="24"/>
          <w:highlight w:val="none"/>
          <w:lang w:val="zh-CN"/>
        </w:rPr>
      </w:pPr>
      <w:r>
        <w:rPr>
          <w:rFonts w:hint="eastAsia" w:ascii="宋体" w:hAnsi="宋体" w:cs="宋体"/>
          <w:bCs/>
          <w:color w:val="000000"/>
          <w:sz w:val="24"/>
          <w:highlight w:val="none"/>
          <w:lang w:val="en-US" w:eastAsia="zh-CN"/>
        </w:rPr>
        <w:t xml:space="preserve">乙方</w:t>
      </w:r>
      <w:r>
        <w:rPr>
          <w:rFonts w:hint="eastAsia" w:ascii="宋体" w:hAnsi="宋体" w:cs="宋体"/>
          <w:bCs/>
          <w:color w:val="000000"/>
          <w:sz w:val="24"/>
          <w:highlight w:val="none"/>
          <w:lang w:val="zh-CN"/>
        </w:rPr>
        <w:t xml:space="preserve">有义务配合建设单位解决各项地方外部矛盾。</w:t>
      </w:r>
      <w:r>
        <w:rPr>
          <w:rFonts w:hint="eastAsia" w:ascii="宋体" w:hAnsi="宋体" w:cs="宋体"/>
          <w:bCs/>
          <w:color w:val="000000"/>
          <w:sz w:val="24"/>
          <w:highlight w:val="none"/>
          <w:lang w:val="zh-CN"/>
        </w:rPr>
      </w:r>
      <w:r/>
    </w:p>
    <w:p>
      <w:pPr>
        <w:pStyle w:val="1023"/>
        <w:ind w:firstLine="480"/>
        <w:jc w:val="left"/>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乙方或丙方（如有）应</w:t>
      </w:r>
      <w:r>
        <w:rPr>
          <w:rFonts w:hint="eastAsia" w:ascii="宋体" w:hAnsi="宋体" w:eastAsia="宋体" w:cs="宋体"/>
          <w:color w:val="000000"/>
          <w:sz w:val="24"/>
          <w:highlight w:val="none"/>
          <w:lang w:val="zh-CN"/>
        </w:rPr>
        <w:t xml:space="preserve">通过智慧平台，提供工单制定和发放、车辆设施轨迹巡检、投诉接入及预警等服务。</w:t>
      </w:r>
      <w:r>
        <w:rPr>
          <w:rFonts w:hint="eastAsia" w:ascii="宋体" w:hAnsi="宋体" w:eastAsia="宋体" w:cs="宋体"/>
          <w:color w:val="000000"/>
          <w:sz w:val="24"/>
          <w:highlight w:val="none"/>
          <w:lang w:val="zh-CN"/>
        </w:rPr>
      </w:r>
      <w:r/>
    </w:p>
    <w:p>
      <w:pPr>
        <w:pStyle w:val="1023"/>
        <w:ind w:firstLine="482"/>
        <w:jc w:val="left"/>
        <w:spacing w:line="440" w:lineRule="exact"/>
        <w:rPr>
          <w:rFonts w:hint="eastAsia" w:ascii="宋体" w:hAnsi="宋体" w:cs="宋体"/>
          <w:b/>
          <w:bCs w:val="0"/>
          <w:color w:val="000000"/>
          <w:sz w:val="24"/>
          <w:highlight w:val="none"/>
          <w:lang w:val="zh-CN"/>
        </w:rPr>
      </w:pPr>
      <w:r>
        <w:rPr>
          <w:rFonts w:hint="eastAsia" w:ascii="宋体" w:hAnsi="宋体" w:cs="宋体"/>
          <w:b/>
          <w:bCs w:val="0"/>
          <w:color w:val="000000"/>
          <w:sz w:val="24"/>
          <w:highlight w:val="none"/>
          <w:lang w:val="zh-CN"/>
        </w:rPr>
        <w:t xml:space="preserve">第八条　验收</w:t>
      </w:r>
      <w:r>
        <w:rPr>
          <w:rFonts w:hint="eastAsia" w:ascii="宋体" w:hAnsi="宋体" w:cs="宋体"/>
          <w:b/>
          <w:bCs w:val="0"/>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rPr>
      </w:pPr>
      <w:r>
        <w:rPr>
          <w:rFonts w:hint="eastAsia" w:ascii="宋体" w:hAnsi="宋体" w:cs="宋体"/>
          <w:bCs/>
          <w:color w:val="000000"/>
          <w:sz w:val="24"/>
          <w:highlight w:val="none"/>
          <w:lang w:val="zh-CN"/>
        </w:rPr>
        <w:t xml:space="preserve">验收标准：</w:t>
      </w:r>
      <w:r>
        <w:rPr>
          <w:rFonts w:hint="eastAsia" w:ascii="宋体" w:hAnsi="宋体" w:cs="宋体"/>
          <w:color w:val="000000"/>
          <w:sz w:val="24"/>
          <w:highlight w:val="none"/>
          <w:lang w:val="zh-CN"/>
        </w:rPr>
        <w:t xml:space="preserve">按招标文件所规定的服务标准和乙方投标文件的承诺</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（参照苏财规【2024】7号关于印发《江苏省政府采购履约验收管理办法》的通知执行。）</w:t>
      </w:r>
      <w:r>
        <w:rPr>
          <w:rFonts w:hint="eastAsia" w:ascii="宋体" w:hAnsi="宋体" w:cs="宋体"/>
          <w:color w:val="000000"/>
          <w:sz w:val="24"/>
          <w:highlight w:val="none"/>
          <w:lang w:val="zh-CN"/>
        </w:rPr>
      </w:r>
      <w:r/>
    </w:p>
    <w:p>
      <w:pPr>
        <w:pStyle w:val="1023"/>
        <w:ind w:firstLine="482"/>
        <w:jc w:val="left"/>
        <w:spacing w:line="440" w:lineRule="exact"/>
        <w:rPr>
          <w:rFonts w:hint="eastAsia" w:ascii="宋体" w:hAnsi="宋体" w:cs="宋体"/>
          <w:b/>
          <w:bCs w:val="0"/>
          <w:i/>
          <w:iCs/>
          <w:color w:val="000000"/>
          <w:sz w:val="24"/>
          <w:highlight w:val="none"/>
          <w:lang w:val="zh-CN"/>
        </w:rPr>
      </w:pPr>
      <w:r>
        <w:rPr>
          <w:rFonts w:hint="eastAsia" w:ascii="宋体" w:hAnsi="宋体" w:cs="宋体"/>
          <w:b/>
          <w:bCs w:val="0"/>
          <w:color w:val="000000"/>
          <w:sz w:val="24"/>
          <w:highlight w:val="none"/>
          <w:lang w:val="zh-CN"/>
        </w:rPr>
        <w:t xml:space="preserve">第九条　付款</w:t>
      </w:r>
      <w:r>
        <w:rPr>
          <w:rFonts w:hint="eastAsia" w:ascii="宋体" w:hAnsi="宋体" w:cs="宋体"/>
          <w:b/>
          <w:bCs w:val="0"/>
          <w:i/>
          <w:iCs/>
          <w:color w:val="000000"/>
          <w:sz w:val="24"/>
          <w:highlight w:val="none"/>
          <w:lang w:val="zh-CN"/>
        </w:rPr>
      </w:r>
      <w:r/>
    </w:p>
    <w:p>
      <w:pPr>
        <w:pStyle w:val="1023"/>
        <w:ind w:firstLine="480"/>
        <w:jc w:val="left"/>
        <w:spacing w:line="44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合同签订后一个月内，支付合同价款的</w:t>
      </w:r>
      <w:r>
        <w:rPr>
          <w:rFonts w:hint="eastAsia" w:ascii="宋体" w:hAnsi="宋体" w:cs="宋体"/>
          <w:color w:val="000000"/>
          <w:sz w:val="24"/>
          <w:highlight w:val="none"/>
        </w:rPr>
        <w:t xml:space="preserve">10%作为预付款，</w:t>
      </w:r>
      <w:r>
        <w:rPr>
          <w:rFonts w:hint="eastAsia" w:ascii="宋体" w:hAnsi="宋体" w:cs="宋体"/>
          <w:color w:val="000000"/>
          <w:sz w:val="24"/>
          <w:highlight w:val="none"/>
          <w:lang w:val="zh-CN"/>
        </w:rPr>
        <w:t xml:space="preserve">当年项目款按照年度服务总量审计价的80%支付（同时扣回预付款），付款节点为当年度阴历年前，余款第二年付清。</w:t>
      </w:r>
      <w:r>
        <w:rPr>
          <w:rFonts w:hint="eastAsia" w:ascii="宋体" w:hAnsi="宋体" w:cs="宋体"/>
          <w:color w:val="000000"/>
          <w:sz w:val="24"/>
          <w:highlight w:val="none"/>
          <w:lang w:val="zh-CN"/>
        </w:rPr>
      </w:r>
      <w:r/>
    </w:p>
    <w:p>
      <w:pPr>
        <w:pStyle w:val="1023"/>
        <w:ind w:firstLine="480"/>
        <w:jc w:val="left"/>
        <w:spacing w:line="440" w:lineRule="exact"/>
        <w:rPr>
          <w:rFonts w:hint="eastAsia" w:ascii="宋体" w:hAnsi="宋体" w:cs="宋体"/>
          <w:b/>
          <w:color w:val="000000"/>
          <w:sz w:val="24"/>
          <w:highlight w:val="none"/>
          <w:lang w:val="zh-CN"/>
        </w:rPr>
      </w:pPr>
      <w:r>
        <w:rPr>
          <w:rFonts w:hint="eastAsia" w:ascii="宋体" w:hAnsi="宋体" w:cs="宋体"/>
          <w:bCs/>
          <w:color w:val="000000"/>
          <w:sz w:val="24"/>
          <w:highlight w:val="none"/>
          <w:lang w:val="zh-CN"/>
        </w:rPr>
        <w:t xml:space="preserve">第十条　违约责任</w:t>
      </w:r>
      <w:r>
        <w:rPr>
          <w:rFonts w:hint="eastAsia" w:ascii="宋体" w:hAnsi="宋体" w:cs="宋体"/>
          <w:b/>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1、甲方无正当理由拒绝验收或拒付合同款项的，应向乙方偿付合同总价10％的违约金。</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2、甲方逾期支付合同款项的，每逾期</w:t>
      </w:r>
      <w:r>
        <w:rPr>
          <w:rFonts w:hint="eastAsia" w:ascii="宋体" w:hAnsi="宋体" w:cs="宋体"/>
          <w:color w:val="000000"/>
          <w:sz w:val="24"/>
          <w:highlight w:val="none"/>
          <w:u w:val="single"/>
        </w:rPr>
        <w:t xml:space="preserve"> 1  </w:t>
      </w:r>
      <w:r>
        <w:rPr>
          <w:rFonts w:hint="eastAsia" w:ascii="宋体" w:hAnsi="宋体" w:cs="宋体"/>
          <w:color w:val="000000"/>
          <w:sz w:val="24"/>
          <w:highlight w:val="none"/>
        </w:rPr>
        <w:t xml:space="preserve">天应向乙方偿付欠款总额</w:t>
      </w:r>
      <w:r>
        <w:rPr>
          <w:rFonts w:hint="eastAsia" w:ascii="宋体" w:hAnsi="宋体" w:cs="宋体"/>
          <w:color w:val="000000"/>
          <w:sz w:val="24"/>
          <w:highlight w:val="none"/>
          <w:u w:val="single"/>
        </w:rPr>
        <w:t xml:space="preserve">0.5％</w:t>
      </w:r>
      <w:r>
        <w:rPr>
          <w:rFonts w:hint="eastAsia" w:ascii="宋体" w:hAnsi="宋体" w:cs="宋体"/>
          <w:color w:val="000000"/>
          <w:sz w:val="24"/>
          <w:highlight w:val="none"/>
        </w:rPr>
        <w:t xml:space="preserve">的滞纳金，但滞纳金总额累计不得超过欠款总额的</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；一旦滞纳金总额累计达到欠款总额的</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，乙方有权解除合同。区财政因素除外。</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3、乙方无法完成项目的，应向甲方支付合同总价</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的违约金，同时甲方有权解除合同。</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4、乙方逾期完成项目的，每逾期</w:t>
      </w:r>
      <w:r>
        <w:rPr>
          <w:rFonts w:hint="eastAsia" w:ascii="宋体" w:hAnsi="宋体" w:cs="宋体"/>
          <w:color w:val="000000"/>
          <w:sz w:val="24"/>
          <w:highlight w:val="none"/>
          <w:u w:val="single"/>
        </w:rPr>
        <w:t xml:space="preserve">1</w:t>
      </w:r>
      <w:r>
        <w:rPr>
          <w:rFonts w:hint="eastAsia" w:ascii="宋体" w:hAnsi="宋体" w:cs="宋体"/>
          <w:color w:val="000000"/>
          <w:sz w:val="24"/>
          <w:highlight w:val="none"/>
        </w:rPr>
        <w:t xml:space="preserve">天应向甲方偿付逾期交付合同总额</w:t>
      </w:r>
      <w:r>
        <w:rPr>
          <w:rFonts w:hint="eastAsia" w:ascii="宋体" w:hAnsi="宋体" w:cs="宋体"/>
          <w:color w:val="000000"/>
          <w:sz w:val="24"/>
          <w:highlight w:val="none"/>
          <w:u w:val="single"/>
        </w:rPr>
        <w:t xml:space="preserve">0.5％</w:t>
      </w:r>
      <w:r>
        <w:rPr>
          <w:rFonts w:hint="eastAsia" w:ascii="宋体" w:hAnsi="宋体" w:cs="宋体"/>
          <w:color w:val="000000"/>
          <w:sz w:val="24"/>
          <w:highlight w:val="none"/>
        </w:rPr>
        <w:t xml:space="preserve">的滞纳金，但滞纳金累计不得超过逾期交付合同总额</w:t>
      </w:r>
      <w:r>
        <w:rPr>
          <w:rFonts w:hint="eastAsia" w:ascii="宋体" w:hAnsi="宋体" w:cs="宋体"/>
          <w:color w:val="000000"/>
          <w:sz w:val="24"/>
          <w:highlight w:val="none"/>
          <w:u w:val="single"/>
        </w:rPr>
        <w:t xml:space="preserve">的5％</w:t>
      </w:r>
      <w:r>
        <w:rPr>
          <w:rFonts w:hint="eastAsia" w:ascii="宋体" w:hAnsi="宋体" w:cs="宋体"/>
          <w:color w:val="000000"/>
          <w:sz w:val="24"/>
          <w:highlight w:val="none"/>
        </w:rPr>
        <w:t xml:space="preserve">；一旦滞纳金总额累计达到逾期交付合同总额的</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，甲方有权解除合同。逾期超过</w:t>
      </w:r>
      <w:r>
        <w:rPr>
          <w:rFonts w:hint="eastAsia" w:ascii="宋体" w:hAnsi="宋体" w:cs="宋体"/>
          <w:color w:val="000000"/>
          <w:sz w:val="24"/>
          <w:highlight w:val="none"/>
          <w:u w:val="single"/>
        </w:rPr>
        <w:t xml:space="preserve">1年</w:t>
      </w:r>
      <w:r>
        <w:rPr>
          <w:rFonts w:hint="eastAsia" w:ascii="宋体" w:hAnsi="宋体" w:cs="宋体"/>
          <w:color w:val="000000"/>
          <w:sz w:val="24"/>
          <w:highlight w:val="none"/>
        </w:rPr>
        <w:t xml:space="preserve">，视乙方无法完成项目，项目自动终止，甲方停止支付剩余款项并按相关条款进行处理，剩余款项包括已经申请但并未支付款项。</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5、乙方完成的项目不符合要求的，应按照甲方选择的下列一种或多种方式承担赔偿责任：</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(1)在甲方同意延长的期限内交付符合要求的提供服务并承担由此给甲方造成的一切损失；逾期未完成或完成的项目仍不符合要求，乙方应向甲方支付合同总价</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的违约金，同时甲方有权解除合同。</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(2)在甲方规定时间内，修正有缺陷的部分以达到合同规定的要求并承担一切费用和风险，同时承担甲方因此所遭受的全部损失；</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(3)按合同规定同种货币退还甲方已付款项，同时承担由此发生的一切损失和费用，包括但不限于利息、银行手续费及所需的其他必要费用。</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6、乙方未按规定和承诺提供伴随服务、售后服务的，应向甲方支付合同总价</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的违约金。</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7、违约方承担违约责任并不影响其合同项下的义务(合同解除的除外)。</w:t>
      </w:r>
      <w:r>
        <w:rPr>
          <w:rFonts w:hint="eastAsia" w:ascii="宋体" w:hAnsi="宋体" w:cs="宋体"/>
          <w:color w:val="000000"/>
          <w:sz w:val="24"/>
          <w:highlight w:val="none"/>
        </w:rPr>
      </w:r>
      <w:r/>
    </w:p>
    <w:p>
      <w:pPr>
        <w:pStyle w:val="1023"/>
        <w:ind w:firstLine="480"/>
        <w:jc w:val="left"/>
        <w:spacing w:line="440" w:lineRule="exact"/>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8、其他：丙方（如有）的相关违约责任参照乙方相关条款执行。</w:t>
      </w:r>
      <w:r>
        <w:rPr>
          <w:rFonts w:ascii="宋体" w:hAnsi="宋体" w:eastAsia="宋体" w:cs="宋体"/>
          <w:color w:val="000000"/>
          <w:sz w:val="24"/>
          <w:highlight w:val="none"/>
          <w:lang w:val="en-US" w:eastAsia="zh-CN"/>
        </w:rPr>
      </w:r>
      <w:r/>
    </w:p>
    <w:p>
      <w:pPr>
        <w:pStyle w:val="1023"/>
        <w:ind w:firstLine="482"/>
        <w:jc w:val="left"/>
        <w:spacing w:line="440" w:lineRule="exact"/>
        <w:widowControl/>
        <w:rPr>
          <w:rFonts w:hint="eastAsia" w:ascii="宋体" w:hAnsi="宋体" w:cs="宋体"/>
          <w:b/>
          <w:bCs w:val="0"/>
          <w:color w:val="000000"/>
          <w:sz w:val="24"/>
          <w:highlight w:val="none"/>
        </w:rPr>
      </w:pPr>
      <w:r>
        <w:rPr>
          <w:rFonts w:hint="eastAsia" w:ascii="宋体" w:hAnsi="宋体" w:cs="宋体"/>
          <w:b/>
          <w:bCs w:val="0"/>
          <w:color w:val="000000"/>
          <w:sz w:val="24"/>
          <w:highlight w:val="none"/>
          <w:lang w:val="zh-CN"/>
        </w:rPr>
        <w:t xml:space="preserve">第十一条　</w:t>
      </w:r>
      <w:r>
        <w:rPr>
          <w:rFonts w:hint="eastAsia" w:ascii="宋体" w:hAnsi="宋体" w:cs="宋体"/>
          <w:b/>
          <w:bCs w:val="0"/>
          <w:color w:val="000000"/>
          <w:sz w:val="24"/>
          <w:highlight w:val="none"/>
        </w:rPr>
        <w:t xml:space="preserve">不可抗力</w:t>
      </w:r>
      <w:r>
        <w:rPr>
          <w:rFonts w:hint="eastAsia" w:ascii="宋体" w:hAnsi="宋体" w:cs="宋体"/>
          <w:b/>
          <w:bCs w:val="0"/>
          <w:color w:val="000000"/>
          <w:sz w:val="24"/>
          <w:highlight w:val="none"/>
        </w:rPr>
      </w:r>
      <w:r/>
    </w:p>
    <w:p>
      <w:pPr>
        <w:pStyle w:val="1023"/>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1、不可抗力，是指不能预见、不能避免并不能克服的客观情况，如战争、动乱、瘟疫、严重火灾、洪水、地震、风暴或其他自然灾害等。</w:t>
      </w:r>
      <w:r>
        <w:rPr>
          <w:rFonts w:hint="eastAsia" w:ascii="宋体" w:hAnsi="宋体" w:cs="宋体"/>
          <w:bCs/>
          <w:color w:val="000000"/>
          <w:sz w:val="24"/>
          <w:highlight w:val="none"/>
        </w:rPr>
      </w:r>
      <w:r/>
    </w:p>
    <w:p>
      <w:pPr>
        <w:pStyle w:val="1023"/>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宋体" w:hAnsi="宋体" w:cs="宋体"/>
          <w:bCs/>
          <w:color w:val="000000"/>
          <w:sz w:val="24"/>
          <w:highlight w:val="none"/>
        </w:rPr>
      </w:r>
      <w:r/>
    </w:p>
    <w:p>
      <w:pPr>
        <w:pStyle w:val="1023"/>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rPr>
          <w:rFonts w:hint="eastAsia" w:ascii="宋体" w:hAnsi="宋体" w:cs="宋体"/>
          <w:bCs/>
          <w:color w:val="000000"/>
          <w:sz w:val="24"/>
          <w:highlight w:val="none"/>
        </w:rPr>
      </w:r>
      <w:r/>
    </w:p>
    <w:p>
      <w:pPr>
        <w:pStyle w:val="1023"/>
        <w:ind w:firstLine="480"/>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4、合同各方应根据不可抗力对本合同履行的影响程度，协商确定是否终止本合同或是继续履行本合同。</w:t>
      </w:r>
      <w:r>
        <w:rPr>
          <w:rFonts w:hint="eastAsia" w:ascii="宋体" w:hAnsi="宋体" w:cs="宋体"/>
          <w:bCs/>
          <w:color w:val="000000"/>
          <w:sz w:val="24"/>
          <w:highlight w:val="none"/>
        </w:rPr>
      </w:r>
      <w:r/>
    </w:p>
    <w:p>
      <w:pPr>
        <w:pStyle w:val="1023"/>
        <w:ind w:firstLine="482"/>
        <w:jc w:val="left"/>
        <w:spacing w:line="440" w:lineRule="exact"/>
        <w:widowControl/>
        <w:rPr>
          <w:rFonts w:hint="eastAsia" w:ascii="宋体" w:hAnsi="宋体" w:cs="宋体"/>
          <w:b/>
          <w:bCs/>
          <w:color w:val="000000"/>
          <w:sz w:val="24"/>
          <w:highlight w:val="none"/>
          <w:lang w:val="zh-CN"/>
        </w:rPr>
      </w:pPr>
      <w:r>
        <w:rPr>
          <w:rFonts w:hint="eastAsia" w:ascii="宋体" w:hAnsi="宋体" w:cs="宋体"/>
          <w:b/>
          <w:bCs/>
          <w:color w:val="000000"/>
          <w:sz w:val="24"/>
          <w:highlight w:val="none"/>
        </w:rPr>
        <w:t xml:space="preserve">第十二条　</w:t>
      </w:r>
      <w:r>
        <w:rPr>
          <w:rFonts w:hint="eastAsia" w:ascii="宋体" w:hAnsi="宋体" w:cs="宋体"/>
          <w:b/>
          <w:bCs/>
          <w:color w:val="000000"/>
          <w:sz w:val="24"/>
          <w:highlight w:val="none"/>
          <w:lang w:val="zh-CN"/>
        </w:rPr>
        <w:t xml:space="preserve">合同的变更和终止</w:t>
      </w:r>
      <w:r>
        <w:rPr>
          <w:rFonts w:hint="eastAsia" w:ascii="宋体" w:hAnsi="宋体" w:cs="宋体"/>
          <w:b/>
          <w:bCs/>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1、除《政府采购法》第五十条规定的情形外，本合同一经签订，甲乙双方不得擅自变更、中止或终止合同。</w:t>
      </w:r>
      <w:r>
        <w:rPr>
          <w:rFonts w:hint="eastAsia" w:ascii="宋体" w:hAnsi="宋体" w:cs="宋体"/>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2、</w:t>
      </w:r>
      <w:r>
        <w:rPr>
          <w:rFonts w:hint="eastAsia" w:ascii="宋体" w:hAnsi="宋体" w:cs="宋体"/>
          <w:color w:val="000000"/>
          <w:sz w:val="24"/>
          <w:highlight w:val="none"/>
        </w:rPr>
        <w:t xml:space="preserve">除发生法律规定的不能预见、不能避免并不能克服的客观情况外，甲乙双方不得放弃或拒绝履行合同。</w:t>
      </w:r>
      <w:r>
        <w:rPr>
          <w:rFonts w:hint="eastAsia" w:ascii="宋体" w:hAnsi="宋体" w:cs="宋体"/>
          <w:color w:val="000000"/>
          <w:sz w:val="24"/>
          <w:highlight w:val="none"/>
        </w:rPr>
      </w:r>
      <w:r/>
    </w:p>
    <w:p>
      <w:pPr>
        <w:pStyle w:val="1023"/>
        <w:ind w:firstLine="482"/>
        <w:jc w:val="left"/>
        <w:spacing w:line="44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第十三条  合同的终止</w:t>
      </w:r>
      <w:r>
        <w:rPr>
          <w:rFonts w:hint="eastAsia" w:ascii="宋体" w:hAnsi="宋体" w:cs="宋体"/>
          <w:b/>
          <w:bCs/>
          <w:color w:val="000000"/>
          <w:sz w:val="24"/>
          <w:highlight w:val="non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本合同因下列原因而终止：</w:t>
      </w:r>
      <w:r>
        <w:rPr>
          <w:rFonts w:hint="eastAsia" w:ascii="宋体" w:hAnsi="宋体" w:cs="宋体"/>
          <w:color w:val="000000"/>
          <w:sz w:val="24"/>
          <w:highlight w:val="none"/>
        </w:rPr>
      </w:r>
      <w:r/>
    </w:p>
    <w:p>
      <w:pPr>
        <w:pStyle w:val="1023"/>
        <w:ind w:firstLine="482"/>
        <w:jc w:val="left"/>
        <w:spacing w:line="440" w:lineRule="exact"/>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(1)本合同正常履行完毕；</w:t>
      </w:r>
      <w:r>
        <w:rPr>
          <w:rFonts w:hint="eastAsia" w:ascii="宋体" w:hAnsi="宋体" w:cs="宋体"/>
          <w:b/>
          <w:bCs/>
          <w:color w:val="000000"/>
          <w:sz w:val="24"/>
          <w:highlight w:val="none"/>
          <w:u w:val="single"/>
        </w:rPr>
      </w:r>
      <w:r/>
    </w:p>
    <w:p>
      <w:pPr>
        <w:pStyle w:val="1023"/>
        <w:ind w:firstLine="482"/>
        <w:jc w:val="left"/>
        <w:spacing w:line="440" w:lineRule="exact"/>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(2)因不可抗力导致本合同无法履行或履行不必要；</w:t>
      </w:r>
      <w:r>
        <w:rPr>
          <w:rFonts w:hint="eastAsia" w:ascii="宋体" w:hAnsi="宋体" w:cs="宋体"/>
          <w:b/>
          <w:bCs/>
          <w:color w:val="000000"/>
          <w:sz w:val="24"/>
          <w:highlight w:val="none"/>
          <w:u w:val="single"/>
        </w:rPr>
      </w:r>
      <w:r/>
    </w:p>
    <w:p>
      <w:pPr>
        <w:pStyle w:val="1023"/>
        <w:ind w:firstLine="482"/>
        <w:jc w:val="left"/>
        <w:spacing w:line="440" w:lineRule="exact"/>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(3)任何一方行使解除权解除本合同；</w:t>
      </w:r>
      <w:r>
        <w:rPr>
          <w:rFonts w:hint="eastAsia" w:ascii="宋体" w:hAnsi="宋体" w:cs="宋体"/>
          <w:b/>
          <w:bCs/>
          <w:color w:val="000000"/>
          <w:sz w:val="24"/>
          <w:highlight w:val="none"/>
          <w:u w:val="single"/>
        </w:rPr>
      </w:r>
      <w:r/>
    </w:p>
    <w:p>
      <w:pPr>
        <w:pStyle w:val="1023"/>
        <w:ind w:firstLine="482"/>
        <w:jc w:val="left"/>
        <w:spacing w:line="440" w:lineRule="exact"/>
        <w:widowControl/>
        <w:rPr>
          <w:rFonts w:hint="eastAsia" w:ascii="宋体" w:hAnsi="宋体" w:cs="宋体"/>
          <w:b/>
          <w:bCs/>
          <w:color w:val="000000"/>
          <w:sz w:val="24"/>
          <w:highlight w:val="none"/>
          <w:u w:val="single"/>
        </w:rPr>
      </w:pPr>
      <w:r>
        <w:rPr>
          <w:rFonts w:hint="eastAsia" w:ascii="宋体" w:hAnsi="宋体" w:cs="宋体"/>
          <w:b/>
          <w:bCs/>
          <w:color w:val="000000"/>
          <w:sz w:val="24"/>
          <w:highlight w:val="none"/>
          <w:u w:val="single"/>
        </w:rPr>
        <w:t xml:space="preserve">(4)合同的继续履行将损害国家利益和社会公共利益。</w:t>
      </w:r>
      <w:r>
        <w:rPr>
          <w:rFonts w:hint="eastAsia" w:ascii="宋体" w:hAnsi="宋体" w:cs="宋体"/>
          <w:b/>
          <w:bCs/>
          <w:color w:val="000000"/>
          <w:sz w:val="24"/>
          <w:highlight w:val="none"/>
          <w:u w:val="single"/>
        </w:rPr>
      </w:r>
      <w:r/>
    </w:p>
    <w:p>
      <w:pPr>
        <w:pStyle w:val="1023"/>
        <w:ind w:firstLine="48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除上述情形外，甲</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乙</w:t>
      </w:r>
      <w:r>
        <w:rPr>
          <w:rFonts w:hint="eastAsia" w:ascii="宋体" w:hAnsi="宋体" w:cs="宋体"/>
          <w:color w:val="000000"/>
          <w:sz w:val="24"/>
          <w:highlight w:val="none"/>
          <w:lang w:eastAsia="zh-CN"/>
        </w:rPr>
        <w:t xml:space="preserve">、丙（如有）各</w:t>
      </w:r>
      <w:r>
        <w:rPr>
          <w:rFonts w:hint="eastAsia" w:ascii="宋体" w:hAnsi="宋体" w:cs="宋体"/>
          <w:color w:val="000000"/>
          <w:sz w:val="24"/>
          <w:highlight w:val="none"/>
        </w:rPr>
        <w:t xml:space="preserve">方不得擅自终止合同。</w:t>
      </w:r>
      <w:r>
        <w:rPr>
          <w:rFonts w:hint="eastAsia" w:ascii="宋体" w:hAnsi="宋体" w:cs="宋体"/>
          <w:color w:val="000000"/>
          <w:sz w:val="24"/>
          <w:highlight w:val="none"/>
        </w:rPr>
      </w:r>
      <w:r/>
    </w:p>
    <w:p>
      <w:pPr>
        <w:pStyle w:val="1023"/>
        <w:ind w:firstLine="480"/>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第十四条　争议的解决</w:t>
      </w:r>
      <w:r>
        <w:rPr>
          <w:rFonts w:hint="eastAsia" w:ascii="宋体" w:hAnsi="宋体" w:cs="宋体"/>
          <w:bCs/>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1、因履行本合同引起的或与本合同有关的争议，甲、乙</w:t>
      </w:r>
      <w:r>
        <w:rPr>
          <w:rFonts w:hint="eastAsia" w:ascii="宋体" w:hAnsi="宋体" w:cs="宋体"/>
          <w:color w:val="000000"/>
          <w:sz w:val="24"/>
          <w:highlight w:val="none"/>
          <w:lang w:eastAsia="zh-CN"/>
        </w:rPr>
        <w:t xml:space="preserve">、丙（如有）各</w:t>
      </w:r>
      <w:r>
        <w:rPr>
          <w:rFonts w:hint="eastAsia" w:ascii="宋体" w:hAnsi="宋体" w:cs="宋体"/>
          <w:color w:val="000000"/>
          <w:sz w:val="24"/>
          <w:highlight w:val="none"/>
        </w:rPr>
        <w:t xml:space="preserve">方</w:t>
      </w:r>
      <w:r>
        <w:rPr>
          <w:rFonts w:hint="eastAsia" w:ascii="宋体" w:hAnsi="宋体" w:cs="宋体"/>
          <w:color w:val="000000"/>
          <w:sz w:val="24"/>
          <w:highlight w:val="none"/>
          <w:lang w:val="zh-CN"/>
        </w:rPr>
        <w:t xml:space="preserve">应首先通过友好协商解决，如果协商不能解决争议，则采取以下第种方式解决争议：</w:t>
      </w:r>
      <w:r>
        <w:rPr>
          <w:rFonts w:hint="eastAsia" w:ascii="宋体" w:hAnsi="宋体" w:cs="宋体"/>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（1）向甲方所在地有管辖权的人民法院提起诉讼；</w:t>
      </w:r>
      <w:r>
        <w:rPr>
          <w:rFonts w:hint="eastAsia" w:ascii="宋体" w:hAnsi="宋体" w:cs="宋体"/>
          <w:color w:val="000000"/>
          <w:sz w:val="24"/>
          <w:highlight w:val="none"/>
          <w:lang w:val="zh-CN"/>
        </w:rPr>
      </w:r>
      <w:r/>
    </w:p>
    <w:p>
      <w:pPr>
        <w:pStyle w:val="1023"/>
        <w:ind w:firstLine="48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（2）向甲方所在地仲裁委员会按其仲裁规则申请仲裁。</w:t>
      </w:r>
      <w:r>
        <w:rPr>
          <w:rFonts w:hint="eastAsia" w:ascii="宋体" w:hAnsi="宋体" w:cs="宋体"/>
          <w:color w:val="000000"/>
          <w:sz w:val="24"/>
          <w:highlight w:val="none"/>
          <w:lang w:val="zh-CN"/>
        </w:rPr>
      </w:r>
      <w:r/>
    </w:p>
    <w:p>
      <w:pPr>
        <w:pStyle w:val="1023"/>
        <w:ind w:firstLine="42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2、在仲裁期间，本合同应继续履行。</w:t>
      </w:r>
      <w:r>
        <w:rPr>
          <w:rFonts w:hint="eastAsia" w:ascii="宋体" w:hAnsi="宋体" w:cs="宋体"/>
          <w:color w:val="000000"/>
          <w:sz w:val="24"/>
          <w:highlight w:val="none"/>
          <w:lang w:val="zh-CN"/>
        </w:rPr>
      </w:r>
      <w:r/>
    </w:p>
    <w:p>
      <w:pPr>
        <w:pStyle w:val="1023"/>
        <w:ind w:firstLine="480"/>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第十五条　合同生效及其他</w:t>
      </w:r>
      <w:r>
        <w:rPr>
          <w:rFonts w:hint="eastAsia" w:ascii="宋体" w:hAnsi="宋体" w:cs="宋体"/>
          <w:bCs/>
          <w:color w:val="000000"/>
          <w:sz w:val="24"/>
          <w:highlight w:val="none"/>
          <w:lang w:val="zh-CN"/>
        </w:rPr>
      </w:r>
      <w:r/>
    </w:p>
    <w:p>
      <w:pPr>
        <w:pStyle w:val="1023"/>
        <w:ind w:firstLine="420"/>
        <w:jc w:val="left"/>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lang w:val="zh-CN"/>
        </w:rPr>
        <w:t xml:space="preserve">1、</w:t>
      </w:r>
      <w:r>
        <w:rPr>
          <w:rFonts w:hint="eastAsia" w:ascii="宋体" w:hAnsi="宋体" w:cs="宋体"/>
          <w:color w:val="000000"/>
          <w:sz w:val="24"/>
          <w:highlight w:val="none"/>
        </w:rPr>
        <w:t xml:space="preserve">本合同由</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en-US" w:eastAsia="zh-CN"/>
        </w:rPr>
        <w:t xml:space="preserve">丙（如有）各</w:t>
      </w:r>
      <w:r>
        <w:rPr>
          <w:rFonts w:hint="eastAsia" w:ascii="宋体" w:hAnsi="宋体" w:cs="宋体"/>
          <w:color w:val="000000"/>
          <w:sz w:val="24"/>
          <w:highlight w:val="none"/>
          <w:lang w:val="zh-CN"/>
        </w:rPr>
        <w:t xml:space="preserve">方</w:t>
      </w:r>
      <w:r>
        <w:rPr>
          <w:rFonts w:hint="eastAsia" w:ascii="宋体" w:hAnsi="宋体" w:cs="宋体"/>
          <w:color w:val="000000"/>
          <w:sz w:val="24"/>
          <w:highlight w:val="none"/>
        </w:rPr>
        <w:t xml:space="preserve">签字、盖章后生效。</w:t>
      </w:r>
      <w:r>
        <w:rPr>
          <w:rFonts w:hint="eastAsia" w:ascii="宋体" w:hAnsi="宋体" w:cs="宋体"/>
          <w:color w:val="000000"/>
          <w:sz w:val="24"/>
          <w:highlight w:val="none"/>
        </w:rPr>
      </w:r>
      <w:r/>
    </w:p>
    <w:p>
      <w:pPr>
        <w:pStyle w:val="1023"/>
        <w:ind w:firstLine="42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2、本合同一式四份，甲方、乙方、</w:t>
      </w:r>
      <w:r>
        <w:rPr>
          <w:rFonts w:hint="eastAsia" w:ascii="宋体" w:hAnsi="宋体" w:cs="宋体"/>
          <w:color w:val="000000"/>
          <w:sz w:val="24"/>
          <w:highlight w:val="none"/>
          <w:lang w:val="en-US" w:eastAsia="zh-CN"/>
        </w:rPr>
        <w:t xml:space="preserve">丙方（如有）、招标代理机构</w:t>
      </w:r>
      <w:r>
        <w:rPr>
          <w:rFonts w:hint="eastAsia" w:ascii="宋体" w:hAnsi="宋体" w:cs="宋体"/>
          <w:color w:val="000000"/>
          <w:sz w:val="24"/>
          <w:highlight w:val="none"/>
          <w:lang w:val="zh-CN"/>
        </w:rPr>
        <w:t xml:space="preserve">各执一份。</w:t>
      </w:r>
      <w:r>
        <w:rPr>
          <w:rFonts w:hint="eastAsia" w:ascii="宋体" w:hAnsi="宋体" w:cs="宋体"/>
          <w:color w:val="000000"/>
          <w:sz w:val="24"/>
          <w:highlight w:val="none"/>
          <w:lang w:val="zh-CN"/>
        </w:rPr>
      </w:r>
      <w:r/>
    </w:p>
    <w:p>
      <w:pPr>
        <w:pStyle w:val="1023"/>
        <w:ind w:firstLine="420"/>
        <w:jc w:val="left"/>
        <w:spacing w:line="440" w:lineRule="exact"/>
        <w:widowControl/>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r>
      <w:r/>
    </w:p>
    <w:p>
      <w:pPr>
        <w:pStyle w:val="1023"/>
        <w:ind w:firstLine="480"/>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第十六条　合同附件</w:t>
      </w:r>
      <w:r>
        <w:rPr>
          <w:rFonts w:hint="eastAsia" w:ascii="宋体" w:hAnsi="宋体" w:cs="宋体"/>
          <w:bCs/>
          <w:color w:val="000000"/>
          <w:sz w:val="24"/>
          <w:highlight w:val="none"/>
          <w:lang w:val="zh-CN"/>
        </w:rPr>
      </w:r>
      <w:r/>
    </w:p>
    <w:p>
      <w:pPr>
        <w:pStyle w:val="1023"/>
        <w:ind w:firstLine="465"/>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附件1：武进国家高新区市政养护服务考核细则；</w:t>
      </w:r>
      <w:r>
        <w:rPr>
          <w:rFonts w:hint="eastAsia" w:ascii="宋体" w:hAnsi="宋体" w:cs="宋体"/>
          <w:bCs/>
          <w:color w:val="000000"/>
          <w:sz w:val="24"/>
          <w:highlight w:val="none"/>
          <w:lang w:val="zh-CN"/>
        </w:rPr>
      </w:r>
      <w:r/>
    </w:p>
    <w:p>
      <w:pPr>
        <w:pStyle w:val="1023"/>
        <w:ind w:firstLine="465"/>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附件2：武进国家高新区市政养护服务考核评分表；</w:t>
      </w:r>
      <w:r>
        <w:rPr>
          <w:rFonts w:hint="eastAsia" w:ascii="宋体" w:hAnsi="宋体" w:cs="宋体"/>
          <w:bCs/>
          <w:color w:val="000000"/>
          <w:sz w:val="24"/>
          <w:highlight w:val="none"/>
          <w:lang w:val="zh-CN"/>
        </w:rPr>
      </w:r>
      <w:r/>
    </w:p>
    <w:p>
      <w:pPr>
        <w:pStyle w:val="1023"/>
        <w:ind w:firstLine="465"/>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lang w:val="zh-CN"/>
        </w:rPr>
        <w:t xml:space="preserve">附件3：</w:t>
      </w:r>
      <w:r>
        <w:rPr>
          <w:rFonts w:hint="eastAsia" w:ascii="宋体" w:hAnsi="宋体" w:cs="宋体"/>
          <w:bCs/>
          <w:color w:val="000000"/>
          <w:sz w:val="24"/>
          <w:highlight w:val="none"/>
        </w:rPr>
        <w:t xml:space="preserve">武进国家高新区照明设施维护管理制度</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lang w:val="zh-CN"/>
        </w:rPr>
      </w:r>
      <w:r/>
    </w:p>
    <w:p>
      <w:pPr>
        <w:pStyle w:val="1023"/>
        <w:ind w:firstLine="465"/>
        <w:jc w:val="left"/>
        <w:spacing w:line="44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zh-CN"/>
        </w:rPr>
        <w:t xml:space="preserve">附件4</w:t>
      </w:r>
      <w:r>
        <w:rPr>
          <w:rFonts w:hint="eastAsia" w:ascii="宋体" w:hAnsi="宋体" w:cs="宋体"/>
          <w:bCs/>
          <w:color w:val="000000"/>
          <w:sz w:val="24"/>
          <w:highlight w:val="none"/>
        </w:rPr>
        <w:t xml:space="preserve">：武进国家高新区照明设施管理考核办法；</w:t>
      </w:r>
      <w:r>
        <w:rPr>
          <w:rFonts w:hint="eastAsia" w:ascii="宋体" w:hAnsi="宋体" w:cs="宋体"/>
          <w:bCs/>
          <w:color w:val="000000"/>
          <w:sz w:val="24"/>
          <w:highlight w:val="none"/>
        </w:rPr>
      </w:r>
      <w:r/>
    </w:p>
    <w:p>
      <w:pPr>
        <w:pStyle w:val="1023"/>
        <w:ind w:firstLine="465"/>
        <w:jc w:val="left"/>
        <w:spacing w:line="440" w:lineRule="exact"/>
        <w:widowControl/>
        <w:rPr>
          <w:rFonts w:hint="eastAsia" w:ascii="宋体" w:hAnsi="宋体" w:cs="宋体"/>
          <w:bCs/>
          <w:color w:val="000000"/>
          <w:sz w:val="24"/>
          <w:highlight w:val="none"/>
          <w:lang w:val="zh-CN"/>
        </w:rPr>
      </w:pPr>
      <w:r>
        <w:rPr>
          <w:rFonts w:hint="eastAsia" w:ascii="宋体" w:hAnsi="宋体" w:cs="宋体"/>
          <w:bCs/>
          <w:color w:val="000000"/>
          <w:sz w:val="24"/>
          <w:highlight w:val="none"/>
        </w:rPr>
        <w:br w:type="page" w:clear="all"/>
      </w:r>
      <w:r>
        <w:rPr>
          <w:rFonts w:hint="eastAsia" w:ascii="宋体" w:hAnsi="宋体" w:cs="宋体"/>
          <w:bCs/>
          <w:color w:val="000000"/>
          <w:sz w:val="24"/>
          <w:highlight w:val="none"/>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firstLine="480"/>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甲方（采购人）：（盖章）</w:t>
            </w:r>
            <w:r>
              <w:rPr>
                <w:rFonts w:hint="eastAsia" w:ascii="宋体" w:hAnsi="宋体" w:cs="宋体"/>
                <w:bCs/>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firstLine="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法定（授权）代表人：</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firstLine="60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bCs/>
                <w:color w:val="000000"/>
                <w:sz w:val="24"/>
                <w:highlight w:val="none"/>
                <w:u w:val="single"/>
              </w:rPr>
            </w:pPr>
            <w:r>
              <w:rPr>
                <w:rFonts w:hint="eastAsia" w:ascii="宋体" w:hAnsi="宋体" w:cs="宋体"/>
                <w:bCs/>
                <w:color w:val="000000"/>
                <w:sz w:val="24"/>
                <w:highlight w:val="none"/>
              </w:rPr>
              <w:t xml:space="preserve">乙方（供应商）：（盖章）</w:t>
            </w:r>
            <w:r>
              <w:rPr>
                <w:rFonts w:hint="eastAsia" w:ascii="宋体" w:hAnsi="宋体" w:cs="宋体"/>
                <w:bCs/>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法定（授权）代表人：</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eastAsia="宋体" w:cs="宋体"/>
                <w:bCs/>
                <w:color w:val="000000"/>
                <w:sz w:val="24"/>
                <w:highlight w:val="none"/>
                <w:u w:val="single"/>
                <w:lang w:eastAsia="zh-CN"/>
              </w:rPr>
            </w:pPr>
            <w:r>
              <w:rPr>
                <w:rFonts w:hint="eastAsia" w:ascii="宋体" w:hAnsi="宋体" w:cs="宋体"/>
                <w:bCs/>
                <w:color w:val="000000"/>
                <w:sz w:val="24"/>
                <w:highlight w:val="none"/>
                <w:lang w:eastAsia="zh-CN"/>
              </w:rPr>
              <w:t xml:space="preserve">丙</w:t>
            </w:r>
            <w:r>
              <w:rPr>
                <w:rFonts w:hint="eastAsia" w:ascii="宋体" w:hAnsi="宋体" w:cs="宋体"/>
                <w:bCs/>
                <w:color w:val="000000"/>
                <w:sz w:val="24"/>
                <w:highlight w:val="none"/>
              </w:rPr>
              <w:t xml:space="preserve">方（供应商）：（盖章）</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如有</w:t>
            </w:r>
            <w:r>
              <w:rPr>
                <w:rFonts w:hint="eastAsia" w:ascii="宋体" w:hAnsi="宋体" w:cs="宋体"/>
                <w:bCs/>
                <w:color w:val="000000"/>
                <w:sz w:val="24"/>
                <w:highlight w:val="none"/>
                <w:lang w:eastAsia="zh-CN"/>
              </w:rPr>
              <w:t xml:space="preserve">）</w:t>
            </w:r>
            <w:r>
              <w:rPr>
                <w:rFonts w:hint="eastAsia" w:ascii="宋体" w:hAnsi="宋体" w:eastAsia="宋体" w:cs="宋体"/>
                <w:bCs/>
                <w:color w:val="000000"/>
                <w:sz w:val="24"/>
                <w:highlight w:val="none"/>
                <w:u w:val="single"/>
                <w:lang w:eastAsia="zh-CN"/>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地址：</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法定（授权）代表人：</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spacing w:line="440" w:lineRule="exact"/>
              <w:rPr>
                <w:rFonts w:hint="eastAsia" w:ascii="宋体" w:hAnsi="宋体" w:cs="宋体"/>
                <w:color w:val="000000"/>
                <w:sz w:val="24"/>
                <w:highlight w:val="none"/>
              </w:rPr>
            </w:pPr>
            <w:r>
              <w:rPr>
                <w:rFonts w:hint="eastAsia" w:ascii="宋体" w:hAnsi="宋体" w:cs="宋体"/>
                <w:bCs/>
                <w:color w:val="000000"/>
                <w:sz w:val="24"/>
                <w:highlight w:val="none"/>
              </w:rPr>
              <w:t xml:space="preserve">年  月  日</w:t>
            </w: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ind w:right="48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3"/>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23"/>
        <w:ind w:firstLine="420"/>
        <w:jc w:val="left"/>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1023"/>
        <w:ind w:firstLine="420"/>
        <w:jc w:val="left"/>
        <w:spacing w:line="440" w:lineRule="exact"/>
        <w:rPr>
          <w:rFonts w:ascii="宋体" w:hAnsi="宋体" w:cs="宋体"/>
          <w:bCs/>
          <w:color w:val="000000"/>
          <w:sz w:val="24"/>
          <w:highlight w:val="none"/>
        </w:rPr>
      </w:pPr>
      <w:r>
        <w:rPr>
          <w:rFonts w:hint="eastAsia" w:ascii="宋体" w:hAnsi="宋体" w:eastAsia="宋体" w:cs="宋体"/>
          <w:b/>
          <w:bCs/>
          <w:color w:val="000000"/>
          <w:sz w:val="24"/>
          <w:highlight w:val="none"/>
          <w:lang w:val="en-US" w:eastAsia="zh-CN"/>
        </w:rPr>
        <w:t xml:space="preserve">★.备注：甲、乙</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t xml:space="preserve">丙（如有）各</w:t>
      </w:r>
      <w:r>
        <w:rPr>
          <w:rFonts w:hint="eastAsia" w:ascii="宋体" w:hAnsi="宋体" w:eastAsia="宋体" w:cs="宋体"/>
          <w:b/>
          <w:bCs/>
          <w:color w:val="000000"/>
          <w:sz w:val="24"/>
          <w:highlight w:val="none"/>
          <w:lang w:val="zh-CN" w:eastAsia="zh-CN"/>
        </w:rPr>
        <w:t xml:space="preserve">方</w:t>
      </w:r>
      <w:r>
        <w:rPr>
          <w:rFonts w:hint="eastAsia" w:ascii="宋体" w:hAnsi="宋体" w:eastAsia="宋体" w:cs="宋体"/>
          <w:b/>
          <w:bCs/>
          <w:color w:val="000000"/>
          <w:sz w:val="24"/>
          <w:highlight w:val="none"/>
          <w:lang w:val="en-US" w:eastAsia="zh-CN"/>
        </w:rPr>
        <w:t xml:space="preserve">必须以本格式文本拟订合同。</w:t>
      </w:r>
      <w:r>
        <w:rPr>
          <w:rFonts w:hint="eastAsia" w:ascii="宋体" w:hAnsi="宋体" w:cs="宋体"/>
          <w:bCs/>
          <w:color w:val="000000"/>
          <w:sz w:val="24"/>
          <w:highlight w:val="none"/>
        </w:rPr>
        <w:t xml:space="preserve"> </w:t>
      </w:r>
      <w:r>
        <w:rPr>
          <w:rFonts w:ascii="宋体" w:hAnsi="宋体" w:cs="宋体"/>
          <w:bCs/>
          <w:color w:val="000000"/>
          <w:sz w:val="24"/>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rFonts w:hint="eastAsia"/>
          <w:color w:val="000000"/>
          <w:highlight w:val="none"/>
        </w:rPr>
      </w:pPr>
      <w:r>
        <w:rPr>
          <w:rFonts w:hint="eastAsia"/>
          <w:color w:val="000000"/>
          <w:highlight w:val="none"/>
        </w:rPr>
      </w:r>
      <w:r/>
    </w:p>
    <w:p>
      <w:pPr>
        <w:pStyle w:val="1023"/>
        <w:jc w:val="left"/>
        <w:spacing w:before="120"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附件1：</w:t>
      </w:r>
      <w:r>
        <w:rPr>
          <w:rFonts w:hint="eastAsia" w:ascii="宋体" w:hAnsi="宋体" w:cs="宋体"/>
          <w:color w:val="000000"/>
          <w:sz w:val="24"/>
          <w:highlight w:val="none"/>
        </w:rPr>
      </w:r>
      <w:r/>
    </w:p>
    <w:p>
      <w:pPr>
        <w:pStyle w:val="1023"/>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武进国家高新区市政养护服务考核细则</w:t>
      </w:r>
      <w:r>
        <w:rPr>
          <w:rFonts w:hint="eastAsia" w:ascii="宋体" w:hAnsi="宋体" w:cs="宋体"/>
          <w:b/>
          <w:color w:val="000000"/>
          <w:sz w:val="24"/>
          <w:highlight w:val="none"/>
        </w:rPr>
      </w:r>
      <w:r/>
    </w:p>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1023"/>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为满足市政养护服务精细化管理的需求，促进养护工作的顺利开展，调动养护单位的积极性，提高养护服务质量，根据《市政设施养护管理流程及规定》（武建发【2009】80号）、《常州市武进区市政设施养护考核办法》（武公用字【2010】6号）文件精神，结合养护服务实际情况，制定以下养护服务考核细则：</w:t>
      </w:r>
      <w:r>
        <w:rPr>
          <w:rFonts w:hint="eastAsia" w:ascii="宋体" w:hAnsi="宋体" w:cs="宋体"/>
          <w:color w:val="000000"/>
          <w:sz w:val="24"/>
          <w:highlight w:val="none"/>
        </w:rPr>
      </w:r>
      <w:r/>
    </w:p>
    <w:p>
      <w:pPr>
        <w:pStyle w:val="1023"/>
        <w:ind w:left="560"/>
        <w:jc w:val="left"/>
        <w:rPr>
          <w:rFonts w:hint="eastAsia" w:ascii="宋体" w:hAnsi="宋体" w:cs="宋体"/>
          <w:color w:val="000000"/>
          <w:sz w:val="24"/>
          <w:highlight w:val="none"/>
        </w:rPr>
      </w:pPr>
      <w:r>
        <w:rPr>
          <w:rFonts w:hint="eastAsia" w:ascii="宋体" w:hAnsi="宋体" w:cs="宋体"/>
          <w:color w:val="000000"/>
          <w:sz w:val="24"/>
          <w:highlight w:val="none"/>
        </w:rPr>
        <w:t xml:space="preserve">一.考核对象：市政养护单位</w:t>
      </w:r>
      <w:r>
        <w:rPr>
          <w:rFonts w:hint="eastAsia" w:ascii="宋体" w:hAnsi="宋体" w:cs="宋体"/>
          <w:color w:val="000000"/>
          <w:sz w:val="24"/>
          <w:highlight w:val="none"/>
        </w:rPr>
      </w:r>
      <w:r/>
    </w:p>
    <w:p>
      <w:pPr>
        <w:pStyle w:val="1023"/>
        <w:ind w:left="560"/>
        <w:jc w:val="left"/>
        <w:rPr>
          <w:rFonts w:hint="eastAsia" w:ascii="宋体" w:hAnsi="宋体" w:cs="宋体"/>
          <w:color w:val="000000"/>
          <w:sz w:val="24"/>
          <w:highlight w:val="none"/>
        </w:rPr>
      </w:pPr>
      <w:r>
        <w:rPr>
          <w:rFonts w:hint="eastAsia" w:ascii="宋体" w:hAnsi="宋体" w:cs="宋体"/>
          <w:color w:val="000000"/>
          <w:sz w:val="24"/>
          <w:highlight w:val="none"/>
        </w:rPr>
        <w:t xml:space="preserve">二.考核人员:规划建设和城市管理局、市政维护监理、市政维护单位等相关人员；</w:t>
      </w:r>
      <w:r>
        <w:rPr>
          <w:rFonts w:hint="eastAsia" w:ascii="宋体" w:hAnsi="宋体" w:cs="宋体"/>
          <w:color w:val="000000"/>
          <w:sz w:val="24"/>
          <w:highlight w:val="none"/>
        </w:rPr>
      </w:r>
      <w:r/>
    </w:p>
    <w:p>
      <w:pPr>
        <w:pStyle w:val="1023"/>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三.考核方式：日常考核和随机抽查相结合。市政养护考核人员在日常工作中按照《武进国家高新区市政养护服务考核评分表》的各项内容，对市政养护的各类服务（含小修、大中修）和工作进行记录（文字、图片、视频等），作为评分的依据，然后每月将记录汇总，根据考核评分规则进行评分，根据分值形成每月的考核等级。</w:t>
      </w:r>
      <w:r>
        <w:rPr>
          <w:rFonts w:hint="eastAsia" w:ascii="宋体" w:hAnsi="宋体" w:cs="宋体"/>
          <w:color w:val="000000"/>
          <w:sz w:val="24"/>
          <w:highlight w:val="none"/>
        </w:rPr>
      </w:r>
      <w:r/>
    </w:p>
    <w:p>
      <w:pPr>
        <w:pStyle w:val="1023"/>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四.考核等级：优秀、合格与不合格。</w:t>
      </w:r>
      <w:r>
        <w:rPr>
          <w:rFonts w:hint="eastAsia" w:ascii="宋体" w:hAnsi="宋体" w:cs="宋体"/>
          <w:color w:val="000000"/>
          <w:sz w:val="24"/>
          <w:highlight w:val="none"/>
        </w:rPr>
      </w:r>
      <w:r/>
    </w:p>
    <w:p>
      <w:pPr>
        <w:pStyle w:val="1023"/>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五.考核等级与奖罚：按照评定分数数值，各等级有相应的奖罚金额。</w:t>
      </w:r>
      <w:r>
        <w:rPr>
          <w:rFonts w:hint="eastAsia" w:ascii="宋体" w:hAnsi="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79"/>
        <w:gridCol w:w="2240"/>
        <w:gridCol w:w="2707"/>
        <w:gridCol w:w="2680"/>
      </w:tblGrid>
      <w:tr>
        <w:trPr>
          <w:trHeight w:val="318"/>
        </w:trPr>
        <w:tc>
          <w:tcPr>
            <w:tcW w:w="1979"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r>
            <w:r/>
          </w:p>
        </w:tc>
        <w:tc>
          <w:tcPr>
            <w:tcW w:w="224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分值F</w:t>
            </w:r>
            <w:r>
              <w:rPr>
                <w:rFonts w:hint="eastAsia" w:ascii="宋体" w:hAnsi="宋体" w:cs="宋体"/>
                <w:color w:val="000000"/>
                <w:sz w:val="24"/>
                <w:highlight w:val="none"/>
              </w:rPr>
            </w:r>
            <w:r/>
          </w:p>
        </w:tc>
        <w:tc>
          <w:tcPr>
            <w:tcW w:w="2707"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奖罚金额（元）</w:t>
            </w:r>
            <w:r>
              <w:rPr>
                <w:rFonts w:hint="eastAsia" w:ascii="宋体" w:hAnsi="宋体" w:cs="宋体"/>
                <w:color w:val="000000"/>
                <w:sz w:val="24"/>
                <w:highlight w:val="none"/>
              </w:rPr>
            </w:r>
            <w:r/>
          </w:p>
        </w:tc>
        <w:tc>
          <w:tcPr>
            <w:tcW w:w="268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tc>
      </w:tr>
      <w:tr>
        <w:trPr>
          <w:trHeight w:val="334"/>
        </w:trPr>
        <w:tc>
          <w:tcPr>
            <w:tcW w:w="1979"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优秀</w:t>
            </w:r>
            <w:r>
              <w:rPr>
                <w:rFonts w:hint="eastAsia" w:ascii="宋体" w:hAnsi="宋体" w:cs="宋体"/>
                <w:color w:val="000000"/>
                <w:sz w:val="24"/>
                <w:highlight w:val="none"/>
              </w:rPr>
            </w:r>
            <w:r/>
          </w:p>
        </w:tc>
        <w:tc>
          <w:tcPr>
            <w:tcW w:w="224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F≥95</w:t>
            </w:r>
            <w:r>
              <w:rPr>
                <w:rFonts w:hint="eastAsia" w:ascii="宋体" w:hAnsi="宋体" w:cs="宋体"/>
                <w:color w:val="000000"/>
                <w:sz w:val="24"/>
                <w:highlight w:val="none"/>
              </w:rPr>
            </w:r>
            <w:r/>
          </w:p>
        </w:tc>
        <w:tc>
          <w:tcPr>
            <w:tcW w:w="2707"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奖10000</w:t>
            </w:r>
            <w:r>
              <w:rPr>
                <w:rFonts w:hint="eastAsia" w:ascii="宋体" w:hAnsi="宋体" w:cs="宋体"/>
                <w:color w:val="000000"/>
                <w:sz w:val="24"/>
                <w:highlight w:val="none"/>
              </w:rPr>
            </w:r>
            <w:r/>
          </w:p>
        </w:tc>
        <w:tc>
          <w:tcPr>
            <w:tcW w:w="268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4"/>
        </w:trPr>
        <w:tc>
          <w:tcPr>
            <w:tcW w:w="1979"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合格</w:t>
            </w:r>
            <w:r>
              <w:rPr>
                <w:rFonts w:hint="eastAsia" w:ascii="宋体" w:hAnsi="宋体" w:cs="宋体"/>
                <w:color w:val="000000"/>
                <w:sz w:val="24"/>
                <w:highlight w:val="none"/>
              </w:rPr>
            </w:r>
            <w:r/>
          </w:p>
        </w:tc>
        <w:tc>
          <w:tcPr>
            <w:tcW w:w="224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80≤F＜95</w:t>
            </w:r>
            <w:r>
              <w:rPr>
                <w:rFonts w:hint="eastAsia" w:ascii="宋体" w:hAnsi="宋体" w:cs="宋体"/>
                <w:color w:val="000000"/>
                <w:sz w:val="24"/>
                <w:highlight w:val="none"/>
              </w:rPr>
            </w:r>
            <w:r/>
          </w:p>
        </w:tc>
        <w:tc>
          <w:tcPr>
            <w:tcW w:w="2707"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不奖不罚</w:t>
            </w:r>
            <w:r>
              <w:rPr>
                <w:rFonts w:hint="eastAsia" w:ascii="宋体" w:hAnsi="宋体" w:cs="宋体"/>
                <w:color w:val="000000"/>
                <w:sz w:val="24"/>
                <w:highlight w:val="none"/>
              </w:rPr>
            </w:r>
            <w:r/>
          </w:p>
        </w:tc>
        <w:tc>
          <w:tcPr>
            <w:tcW w:w="268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334"/>
        </w:trPr>
        <w:tc>
          <w:tcPr>
            <w:tcW w:w="1979"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不合格</w:t>
            </w:r>
            <w:r>
              <w:rPr>
                <w:rFonts w:hint="eastAsia" w:ascii="宋体" w:hAnsi="宋体" w:cs="宋体"/>
                <w:color w:val="000000"/>
                <w:sz w:val="24"/>
                <w:highlight w:val="none"/>
              </w:rPr>
            </w:r>
            <w:r/>
          </w:p>
        </w:tc>
        <w:tc>
          <w:tcPr>
            <w:tcW w:w="224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F＜80</w:t>
            </w:r>
            <w:r>
              <w:rPr>
                <w:rFonts w:hint="eastAsia" w:ascii="宋体" w:hAnsi="宋体" w:cs="宋体"/>
                <w:color w:val="000000"/>
                <w:sz w:val="24"/>
                <w:highlight w:val="none"/>
              </w:rPr>
            </w:r>
            <w:r/>
          </w:p>
        </w:tc>
        <w:tc>
          <w:tcPr>
            <w:tcW w:w="2707"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t xml:space="preserve">罚20000</w:t>
            </w:r>
            <w:r>
              <w:rPr>
                <w:rFonts w:hint="eastAsia" w:ascii="宋体" w:hAnsi="宋体" w:cs="宋体"/>
                <w:color w:val="000000"/>
                <w:sz w:val="24"/>
                <w:highlight w:val="none"/>
              </w:rPr>
            </w:r>
            <w:r/>
          </w:p>
        </w:tc>
        <w:tc>
          <w:tcPr>
            <w:tcW w:w="2680" w:type="dxa"/>
            <w:vAlign w:val="center"/>
            <w:textDirection w:val="lrTb"/>
            <w:noWrap w:val="false"/>
          </w:tcPr>
          <w:p>
            <w:pPr>
              <w:pStyle w:val="1023"/>
              <w:jc w:val="center"/>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3"/>
        <w:ind w:left="56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1023"/>
        <w:ind w:left="560"/>
        <w:jc w:val="left"/>
        <w:rPr>
          <w:rFonts w:hint="eastAsia" w:ascii="宋体" w:hAnsi="宋体" w:cs="宋体"/>
          <w:color w:val="000000"/>
          <w:sz w:val="24"/>
          <w:highlight w:val="none"/>
        </w:rPr>
      </w:pPr>
      <w:r>
        <w:rPr>
          <w:rFonts w:hint="eastAsia" w:ascii="宋体" w:hAnsi="宋体" w:cs="宋体"/>
          <w:color w:val="000000"/>
          <w:sz w:val="24"/>
          <w:highlight w:val="none"/>
        </w:rPr>
        <w:t xml:space="preserve">另：</w:t>
      </w:r>
      <w:r>
        <w:rPr>
          <w:rFonts w:hint="eastAsia" w:ascii="宋体" w:hAnsi="宋体" w:cs="宋体"/>
          <w:color w:val="000000"/>
          <w:sz w:val="24"/>
          <w:highlight w:val="none"/>
        </w:rPr>
      </w:r>
      <w:r/>
    </w:p>
    <w:p>
      <w:pPr>
        <w:pStyle w:val="1023"/>
        <w:numPr>
          <w:ilvl w:val="0"/>
          <w:numId w:val="9"/>
        </w:numPr>
        <w:jc w:val="left"/>
        <w:tabs>
          <w:tab w:val="left" w:pos="9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连续三个月或三个月以上考核优秀的，另奖10000元；</w:t>
      </w:r>
      <w:r>
        <w:rPr>
          <w:rFonts w:hint="eastAsia" w:ascii="宋体" w:hAnsi="宋体" w:cs="宋体"/>
          <w:color w:val="000000"/>
          <w:sz w:val="24"/>
          <w:highlight w:val="none"/>
        </w:rPr>
      </w:r>
      <w:r/>
    </w:p>
    <w:p>
      <w:pPr>
        <w:pStyle w:val="1023"/>
        <w:numPr>
          <w:ilvl w:val="0"/>
          <w:numId w:val="9"/>
        </w:numPr>
        <w:jc w:val="left"/>
        <w:tabs>
          <w:tab w:val="left" w:pos="9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连续二个月考核不合格的，另罚20000元；</w:t>
      </w:r>
      <w:r>
        <w:rPr>
          <w:rFonts w:hint="eastAsia" w:ascii="宋体" w:hAnsi="宋体" w:cs="宋体"/>
          <w:color w:val="000000"/>
          <w:sz w:val="24"/>
          <w:highlight w:val="none"/>
        </w:rPr>
      </w:r>
      <w:r/>
    </w:p>
    <w:p>
      <w:pPr>
        <w:pStyle w:val="1023"/>
        <w:numPr>
          <w:ilvl w:val="0"/>
          <w:numId w:val="9"/>
        </w:numPr>
        <w:jc w:val="left"/>
        <w:tabs>
          <w:tab w:val="left" w:pos="9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连续三个月考核不合格的，另罚30000元，且可单方面与养护单位解除养护委托合同；</w:t>
      </w:r>
      <w:r>
        <w:rPr>
          <w:rFonts w:hint="eastAsia" w:ascii="宋体" w:hAnsi="宋体" w:cs="宋体"/>
          <w:color w:val="000000"/>
          <w:sz w:val="24"/>
          <w:highlight w:val="none"/>
        </w:rPr>
      </w:r>
      <w:r/>
    </w:p>
    <w:p>
      <w:pPr>
        <w:pStyle w:val="1023"/>
        <w:numPr>
          <w:ilvl w:val="0"/>
          <w:numId w:val="9"/>
        </w:numPr>
        <w:jc w:val="left"/>
        <w:tabs>
          <w:tab w:val="left" w:pos="9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每个年度累计考核不合格达三次的，另罚20000元，且可单方面与养护单位解除养护委托合同。</w:t>
      </w:r>
      <w:r>
        <w:rPr>
          <w:rFonts w:hint="eastAsia" w:ascii="宋体" w:hAnsi="宋体" w:cs="宋体"/>
          <w:color w:val="000000"/>
          <w:sz w:val="24"/>
          <w:highlight w:val="none"/>
        </w:rPr>
      </w:r>
      <w:r/>
    </w:p>
    <w:p>
      <w:pPr>
        <w:pStyle w:val="1023"/>
        <w:jc w:val="left"/>
        <w:rPr>
          <w:rFonts w:hint="eastAsia" w:ascii="宋体" w:hAnsi="宋体" w:cs="宋体"/>
          <w:color w:val="000000"/>
          <w:sz w:val="24"/>
          <w:highlight w:val="none"/>
        </w:rPr>
      </w:pPr>
      <w:r>
        <w:rPr>
          <w:rFonts w:hint="eastAsia" w:ascii="宋体" w:hAnsi="宋体" w:cs="宋体"/>
          <w:color w:val="000000"/>
          <w:sz w:val="24"/>
          <w:highlight w:val="none"/>
        </w:rPr>
        <w:t xml:space="preserve">    六.本考核细则有与《武进国家高新区市政设施养护考核办法》不一致的，以本细则为准。</w:t>
      </w:r>
      <w:r>
        <w:rPr>
          <w:rFonts w:hint="eastAsia" w:ascii="宋体" w:hAnsi="宋体" w:cs="宋体"/>
          <w:color w:val="000000"/>
          <w:sz w:val="24"/>
          <w:highlight w:val="none"/>
        </w:rPr>
      </w:r>
      <w:r/>
    </w:p>
    <w:p>
      <w:pPr>
        <w:pStyle w:val="1023"/>
        <w:jc w:val="left"/>
        <w:spacing w:before="120"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3"/>
        <w:jc w:val="left"/>
        <w:spacing w:before="120" w:line="300" w:lineRule="auto"/>
        <w:widowControl/>
        <w:rPr>
          <w:rFonts w:hint="eastAsia" w:ascii="宋体" w:hAnsi="宋体" w:cs="宋体"/>
          <w:color w:val="000000"/>
          <w:sz w:val="24"/>
          <w:highlight w:val="none"/>
        </w:rPr>
        <w:sectPr>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cs="宋体"/>
          <w:color w:val="000000"/>
          <w:sz w:val="24"/>
          <w:highlight w:val="none"/>
        </w:rPr>
      </w:r>
      <w:r/>
    </w:p>
    <w:tbl>
      <w:tblPr>
        <w:tblW w:w="970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10"/>
        <w:gridCol w:w="472"/>
        <w:gridCol w:w="2638"/>
        <w:gridCol w:w="4692"/>
        <w:gridCol w:w="667"/>
        <w:gridCol w:w="721"/>
      </w:tblGrid>
      <w:tr>
        <w:trPr>
          <w:trHeight w:val="675"/>
        </w:trPr>
        <w:tc>
          <w:tcPr>
            <w:gridSpan w:val="6"/>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附件2                                             </w:t>
            </w:r>
            <w:r>
              <w:rPr>
                <w:rFonts w:hint="eastAsia" w:ascii="宋体" w:hAnsi="宋体" w:cs="宋体"/>
                <w:color w:val="000000"/>
                <w:szCs w:val="21"/>
                <w:highlight w:val="none"/>
              </w:rPr>
              <w:t xml:space="preserve">武进国家高新区</w:t>
            </w:r>
            <w:r>
              <w:rPr>
                <w:rFonts w:hint="eastAsia" w:ascii="宋体" w:hAnsi="宋体" w:cs="宋体"/>
                <w:color w:val="000000"/>
                <w:szCs w:val="21"/>
                <w:highlight w:val="none"/>
              </w:rPr>
              <w:t xml:space="preserve">市政养护服务考核评分表</w:t>
            </w:r>
            <w:r>
              <w:rPr>
                <w:rFonts w:hint="eastAsia" w:ascii="宋体" w:hAnsi="宋体" w:cs="宋体"/>
                <w:color w:val="000000"/>
                <w:szCs w:val="21"/>
                <w:highlight w:val="none"/>
              </w:rPr>
            </w:r>
            <w:r/>
          </w:p>
        </w:tc>
      </w:tr>
      <w:tr>
        <w:trPr>
          <w:trHeight w:val="552"/>
        </w:trPr>
        <w:tc>
          <w:tcPr>
            <w:gridSpan w:val="2"/>
            <w:tcBorders>
              <w:top w:val="none" w:color="000000" w:sz="4" w:space="0"/>
              <w:left w:val="none" w:color="000000" w:sz="4" w:space="0"/>
              <w:bottom w:val="none" w:color="000000" w:sz="4" w:space="0"/>
              <w:right w:val="none" w:color="000000" w:sz="4" w:space="0"/>
            </w:tcBorders>
            <w:tcW w:w="98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考核月度：</w:t>
            </w: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721"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考核项目</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7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考核内容</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考核要求</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评分标准</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罚款值</w:t>
            </w:r>
            <w:r>
              <w:rPr>
                <w:rFonts w:hint="eastAsia" w:ascii="宋体" w:hAnsi="宋体" w:cs="宋体"/>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21"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汇总</w:t>
            </w:r>
            <w:r>
              <w:rPr>
                <w:rFonts w:hint="eastAsia" w:ascii="宋体" w:hAnsi="宋体" w:cs="宋体"/>
                <w:color w:val="000000"/>
                <w:szCs w:val="21"/>
                <w:highlight w:val="none"/>
              </w:rPr>
            </w:r>
            <w:r/>
          </w:p>
        </w:tc>
      </w:tr>
      <w:tr>
        <w:trPr>
          <w:trHeight w:val="1668"/>
        </w:trPr>
        <w:tc>
          <w:tcPr>
            <w:tcBorders>
              <w:top w:val="non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静态资料</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养护方案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有完整的年度养护计划，包括：养护人员组织机构、设备机械配置、各类人员资格证书、养护方案、巡查方案、安全文明养护方案等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年度养护计划编制内容齐全，方案合理可行，各类人员（管理、技术、安全、质量、施工等）组织到位，持证上岗，机械配置满足养护需求，安全文明施工有具体措施。养护过程中发生人员、设备变动应上报备案，征得同意。</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667"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保证资料，每年度初制定，不参与评分</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r>
      <w:tr>
        <w:trPr>
          <w:trHeight w:val="2487"/>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应急预案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建立各类应急预案，加强重点区域安全保障措施，及时处理各类突发事件，包括：冬季扫雪除冰应急预案、突发台风暴雨等灾害天气应急预案、节假日应急预案</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各类应急预案编制认真，人员机械落实到位，措施切实可行</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667"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non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动态资料</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施工质量</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施工资料齐全：维修前照片、方案、申报，维修后照片、签证、验收记录等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每个项目每缺失一项资料罚款50元。网上申报时无故夸大破损面积发现一次罚款50元处理。签证资料必须及时，施工结束无特殊情况一个月需签证结束。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中修项目另增：主要材料质保资料、试验报告等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每个项目每缺失一项资料罚款50元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大修项目另增：项目前期资料、施工过程工序资料、验收资料、试验检测资料、竣工资料</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每个项目每缺失一项资料罚款50元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7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关键部位、关键工序及隐蔽项目验收情况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有以下情况的，罚款700元/次：关键部位、关键工序施工未有建设方旁站或到场的；隐蔽项目未有建设方到场隐蔽验收的</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完工验收情况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小修项目完工验收不合格的，每次罚款100元；大中修项目完工验收不合格的，每次罚款500元。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质保期</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质保期内因养护单位原因发生质量缺陷的，每次罚款100元。质保期：小修项目为6个月，大中修项目为一年。</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发生重大事件或变动</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发生重大事件或变动未及时上报造成负面影响，罚款100元。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养护台账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施工日志、养护日志、</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应按要求记录，有以下情况的，每处罚款50元：有漏记天、记录内容不完整、记录内容弄虚作假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39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周报、月报、季报</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不按下述要求执行的，每发生一次罚款100元：周报包含本周完成服务量和下周工作计划；当月15日前上报上月完成服务量；结算每季度一次，后季度第一个月结束前申报前一个季度的结算</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2220"/>
        </w:trPr>
        <w:tc>
          <w:tcPr>
            <w:tcBorders>
              <w:top w:val="non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养护台账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活动护栏保管情况及台账</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活动护栏保管中有下列情况的，每发生一起罚款100元：堆场内护栏无序乱堆放的；露天堆场未覆盖油布等妥善保护的；可以进行裂缝孔洞修补的而未进行修补，随意丢弃、废弃的；其他未妥善保管的情况。活动护栏台账记录，有以下情况的，每处罚款50元：有漏记、记录内容不完整、记录内容弄虚作假</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软件应用情况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未按要求使用养护软件进行相关工作的，每发生一次罚款50元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服务响应</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接单进场时限</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接到派单，在要求时限内未进场施工的，每推迟一天罚款50元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按计划完工情况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未按计划工期完工的，每推迟一天罚款50元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突发或紧急任务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未按要求至现场查看情况，并反馈、上报现场信息的，每发生一起罚款200元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紧急抢修（含长效管理）完成情况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未按要求完成的，罚款700元/次</w:t>
            </w:r>
            <w:r>
              <w:rPr>
                <w:rFonts w:hint="eastAsia" w:ascii="宋体" w:hAnsi="宋体" w:cs="宋体"/>
                <w:b/>
                <w:bCs/>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62"/>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响应建设方指令情况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施工现场未按建设方指令施工或整改的，每发生一次罚款200元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39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行政审批现场围护情况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有以下情况的，每发生一起罚款50元：未在规定时限内设置围护的；未按要求（灌水、联接、整齐等）设置围护的；设置好后未有围护联系单的；未在规定时限内回收围护的；收回围护前未按要求检验的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36"/>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安全文明</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施工人员安全防护（安全帽、反光背心等）</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随机抽查，有施工人员未戴安全帽、未着反光背心的，每发现一人次：罚款50元</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391"/>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施工现场围护情况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有以下情况的，每发生一起罚款50元：未按要求设置醒目围护的；未按要求设置醒目警示牌的；未按要求（灌水、联接、整齐等）设置活动围护的；活动护栏倾倒的；活动护栏倾倒后未在规定时限内整改的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施工现场材料机具清理、垃圾清理外运情况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有以下情况的，每发生一起罚款50元：材料机具乱堆乱放、影响通行的；建筑垃圾未清理归堆、乱堆乱放、影响通行的；建筑垃圾在规定时限内未清运的</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因养护施工造成施工人员安全事故，或行人交通事故</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因养护施工造成施工人员安全事故或行人交通事故，造成轻微事故的，每发生一起罚款50~500元，造成严重社会影响的，当月考核作不合格</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1115"/>
        </w:trPr>
        <w:tc>
          <w:tcPr>
            <w:tcBorders>
              <w:top w:val="none" w:color="000000" w:sz="4" w:space="0"/>
              <w:left w:val="single" w:color="000000" w:sz="4" w:space="0"/>
              <w:bottom w:val="single" w:color="000000" w:sz="4" w:space="0"/>
              <w:right w:val="single" w:color="000000" w:sz="4" w:space="0"/>
            </w:tcBorders>
            <w:tcW w:w="510"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巡查考核</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72"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巡查资料</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有完整的月度巡查计划、巡查情况台帐、巡查结果日报</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资料未及时整理归档的，罚款50元/项；巡查计划和巡查结果日报未按要求及时上报的，罚款50元/次。</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restart"/>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巡查过程</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巡查结果</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长效管理平台、信访单、来电来访等信息来源有关于市政设施损坏而巡查队未上报，每月超过3个以上的，罚款50元/个。</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839"/>
        </w:trPr>
        <w:tc>
          <w:tcPr>
            <w:tcBorders>
              <w:top w:val="none" w:color="000000" w:sz="4" w:space="0"/>
              <w:left w:val="single" w:color="000000" w:sz="4" w:space="0"/>
              <w:bottom w:val="single" w:color="000000" w:sz="4" w:space="0"/>
              <w:right w:val="single" w:color="000000" w:sz="4" w:space="0"/>
            </w:tcBorders>
            <w:tcW w:w="510"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472"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2638"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巡查情况</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4692"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未按巡查计划巡查或巡查未到位，问题未及时上报，紧急情况处理未及时或不当一次，罚款50元/起。</w:t>
            </w:r>
            <w:r>
              <w:rPr>
                <w:rFonts w:hint="eastAsia" w:ascii="宋体" w:hAnsi="宋体" w:cs="宋体"/>
                <w:color w:val="000000"/>
                <w:szCs w:val="21"/>
                <w:highlight w:val="none"/>
              </w:rPr>
            </w:r>
            <w:r/>
          </w:p>
        </w:tc>
        <w:tc>
          <w:tcPr>
            <w:tcBorders>
              <w:top w:val="none" w:color="000000" w:sz="4" w:space="0"/>
              <w:left w:val="none" w:color="000000" w:sz="4" w:space="0"/>
              <w:bottom w:val="single" w:color="000000" w:sz="4" w:space="0"/>
              <w:right w:val="single" w:color="000000" w:sz="4" w:space="0"/>
            </w:tcBorders>
            <w:tcW w:w="667" w:type="dxa"/>
            <w:vAlign w:val="center"/>
            <w:textDirection w:val="lrTb"/>
            <w:noWrap w:val="false"/>
          </w:tcPr>
          <w:p>
            <w:pPr>
              <w:pStyle w:val="1023"/>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tc>
        <w:tc>
          <w:tcPr>
            <w:tcBorders>
              <w:top w:val="none" w:color="000000" w:sz="4" w:space="0"/>
              <w:left w:val="single" w:color="000000" w:sz="4" w:space="0"/>
              <w:bottom w:val="single" w:color="000000" w:sz="4" w:space="0"/>
              <w:right w:val="single" w:color="000000" w:sz="4" w:space="0"/>
            </w:tcBorders>
            <w:tcW w:w="721" w:type="dxa"/>
            <w:vAlign w:val="center"/>
            <w:vMerge w:val="continue"/>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605"/>
        </w:trPr>
        <w:tc>
          <w:tcPr>
            <w:gridSpan w:val="6"/>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说明：满分为100分，实得分=100-罚款分值</w:t>
            </w:r>
            <w:r>
              <w:rPr>
                <w:rFonts w:hint="eastAsia" w:ascii="宋体" w:hAnsi="宋体" w:cs="宋体"/>
                <w:color w:val="000000"/>
                <w:szCs w:val="21"/>
                <w:highlight w:val="none"/>
              </w:rPr>
            </w:r>
            <w:r/>
          </w:p>
        </w:tc>
      </w:tr>
      <w:tr>
        <w:trPr>
          <w:trHeight w:val="625"/>
        </w:trPr>
        <w:tc>
          <w:tcPr>
            <w:gridSpan w:val="6"/>
            <w:tcBorders>
              <w:top w:val="none" w:color="000000" w:sz="4" w:space="0"/>
              <w:left w:val="none" w:color="000000" w:sz="4" w:space="0"/>
              <w:bottom w:val="none" w:color="000000" w:sz="4" w:space="0"/>
              <w:right w:val="none" w:color="000000" w:sz="4" w:space="0"/>
            </w:tcBorders>
            <w:tcW w:w="9700" w:type="dxa"/>
            <w:vAlign w:val="center"/>
            <w:vMerge w:val="restart"/>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大修：施工范围大于100米的路段进行的路面整体维修、道板改造项目；中修：较集中的路面、道板的维修，其中路面维修大于400㎡，道板维修大于500㎡的；小修：零星的小修保养，一般指路面维修面积小于等于400㎡的，道板维修面积小于等于500㎡的。</w:t>
            </w:r>
            <w:r>
              <w:rPr>
                <w:rFonts w:hint="eastAsia" w:ascii="宋体" w:hAnsi="宋体" w:cs="宋体"/>
                <w:color w:val="000000"/>
                <w:szCs w:val="21"/>
                <w:highlight w:val="none"/>
              </w:rPr>
            </w:r>
            <w:r/>
          </w:p>
        </w:tc>
      </w:tr>
      <w:tr>
        <w:trPr>
          <w:trHeight w:val="560"/>
        </w:trPr>
        <w:tc>
          <w:tcPr>
            <w:gridSpan w:val="6"/>
            <w:tcBorders>
              <w:top w:val="none" w:color="000000" w:sz="4" w:space="0"/>
              <w:left w:val="none" w:color="000000" w:sz="4" w:space="0"/>
              <w:bottom w:val="none" w:color="000000" w:sz="4" w:space="0"/>
              <w:right w:val="none" w:color="000000" w:sz="4" w:space="0"/>
            </w:tcBorders>
            <w:tcW w:w="9700" w:type="dxa"/>
            <w:vAlign w:val="center"/>
            <w:textDirection w:val="lrTb"/>
            <w:noWrap w:val="false"/>
          </w:tcPr>
          <w:p>
            <w:pPr>
              <w:pStyle w:val="1023"/>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考核人员签字：</w:t>
            </w:r>
            <w:r>
              <w:rPr>
                <w:rFonts w:hint="eastAsia" w:ascii="宋体" w:hAnsi="宋体" w:cs="宋体"/>
                <w:color w:val="000000"/>
                <w:szCs w:val="21"/>
                <w:highlight w:val="none"/>
              </w:rPr>
            </w:r>
            <w:r/>
          </w:p>
        </w:tc>
      </w:tr>
    </w:tbl>
    <w:p>
      <w:pPr>
        <w:pStyle w:val="1023"/>
        <w:jc w:val="left"/>
        <w:spacing w:before="120" w:line="300" w:lineRule="auto"/>
        <w:widowControl/>
        <w:rPr>
          <w:rFonts w:hint="eastAsia" w:ascii="宋体" w:hAnsi="宋体" w:cs="宋体"/>
          <w:color w:val="000000"/>
          <w:sz w:val="24"/>
          <w:highlight w:val="none"/>
        </w:rPr>
        <w:sectPr>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cs="宋体"/>
          <w:color w:val="000000"/>
          <w:sz w:val="24"/>
          <w:highlight w:val="none"/>
        </w:rPr>
      </w:r>
      <w:r/>
    </w:p>
    <w:p>
      <w:pPr>
        <w:pStyle w:val="1023"/>
        <w:jc w:val="left"/>
        <w:spacing w:before="120"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附件3：</w:t>
      </w:r>
      <w:r>
        <w:rPr>
          <w:rFonts w:hint="eastAsia" w:ascii="宋体" w:hAnsi="宋体" w:cs="宋体"/>
          <w:color w:val="000000"/>
          <w:sz w:val="24"/>
          <w:highlight w:val="none"/>
        </w:rPr>
      </w:r>
      <w:r/>
    </w:p>
    <w:p>
      <w:pPr>
        <w:pStyle w:val="1025"/>
        <w:tabs>
          <w:tab w:val="right" w:pos="8937" w:leader="dot"/>
        </w:tabs>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武进国家高新区照明设施维护管理制度</w:t>
      </w:r>
      <w:r>
        <w:rPr>
          <w:rFonts w:hint="eastAsia" w:ascii="宋体" w:hAnsi="宋体" w:eastAsia="宋体" w:cs="宋体"/>
          <w:color w:val="000000"/>
          <w:sz w:val="36"/>
          <w:szCs w:val="36"/>
          <w:highlight w:val="none"/>
        </w:rPr>
      </w:r>
      <w:r/>
    </w:p>
    <w:p>
      <w:pPr>
        <w:pStyle w:val="1026"/>
        <w:jc w:val="center"/>
        <w:rPr>
          <w:rFonts w:hint="eastAsia" w:hAnsi="宋体" w:cs="宋体"/>
          <w:color w:val="000000"/>
          <w:szCs w:val="24"/>
          <w:highlight w:val="none"/>
        </w:rPr>
      </w:pPr>
      <w:r>
        <w:rPr>
          <w:rFonts w:hint="eastAsia" w:hAnsi="宋体" w:cs="宋体"/>
          <w:color w:val="000000"/>
          <w:szCs w:val="24"/>
          <w:highlight w:val="none"/>
        </w:rPr>
        <w:t xml:space="preserve">第一章     总  则</w:t>
      </w:r>
      <w:r>
        <w:rPr>
          <w:rFonts w:hint="eastAsia" w:hAnsi="宋体" w:cs="宋体"/>
          <w:color w:val="000000"/>
          <w:szCs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第一条   为使武进高新区照明设施管理规范化、标准化、制度化，进一步提高照明设施维修管理水平，结合照明设施工作实际，制定本制度。</w:t>
      </w:r>
      <w:r>
        <w:rPr>
          <w:rFonts w:hint="eastAsia" w:ascii="宋体" w:hAnsi="宋体" w:cs="宋体"/>
          <w:color w:val="000000"/>
          <w:sz w:val="24"/>
          <w:highlight w:val="none"/>
        </w:rPr>
      </w:r>
      <w:r/>
    </w:p>
    <w:p>
      <w:pPr>
        <w:pStyle w:val="1023"/>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第二条   本制度所称城市道路照明设施，是指用于高新区所属道路和绿地等处的照明设施箱式变、照明设施杆、地上地下照明管线、灯具、工作井以及照明附属设备等。包括所有的景观照明、楼宇轮廓亮化及广告牌、公交站台灯箱照明。</w:t>
      </w:r>
      <w:r>
        <w:rPr>
          <w:rFonts w:hint="eastAsia" w:ascii="宋体" w:hAnsi="宋体" w:cs="宋体"/>
          <w:color w:val="000000"/>
          <w:sz w:val="24"/>
          <w:highlight w:val="none"/>
        </w:rPr>
      </w:r>
      <w:r/>
    </w:p>
    <w:p>
      <w:pPr>
        <w:pStyle w:val="1023"/>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第三条    照明设施的维修和管理坚持安全第一，保证质量，节能低碳的原则，认真执行各项规章制度，确保照明设施设施的完好、运行正常和亮灯率。</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第四条   自觉接受主管部门的检查领导和群众的监督，及时更换和修复破损的照明设施设施，使亮灯率不低于96%。</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第五条   根据具体情况采用以下节能方式：</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(一)根据道路的行人、车辆流量等因素实行分时照明；</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(二)对气体放电灯采用无功补偿；</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(三)采用先进的停电、送电控制方式；</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(四)推广和采用高光效光源、逐步取代低光效光源；</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(五)采用节能型的镇流器和控制电器；</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(六)采用高效率的照明灯具，并定期对照明灯具进行清扫，提高照明效果；</w:t>
      </w:r>
      <w:r>
        <w:rPr>
          <w:rFonts w:hint="eastAsia" w:ascii="宋体" w:hAnsi="宋体" w:cs="宋体"/>
          <w:color w:val="000000"/>
          <w:sz w:val="24"/>
          <w:highlight w:val="none"/>
        </w:rPr>
      </w:r>
      <w:r/>
    </w:p>
    <w:p>
      <w:pPr>
        <w:pStyle w:val="1023"/>
        <w:ind w:left="63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(七)积极实践探索研究，逐步推广led灯具在城市照明中的应用。</w:t>
      </w:r>
      <w:r>
        <w:rPr>
          <w:rFonts w:hint="eastAsia" w:ascii="宋体" w:hAnsi="宋体" w:cs="宋体"/>
          <w:color w:val="000000"/>
          <w:sz w:val="24"/>
          <w:highlight w:val="none"/>
        </w:rPr>
      </w:r>
      <w:r/>
    </w:p>
    <w:p>
      <w:pPr>
        <w:pStyle w:val="1023"/>
        <w:ind w:firstLine="66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(八)其他行之有效的节能措施。</w:t>
      </w:r>
      <w:r>
        <w:rPr>
          <w:rFonts w:hint="eastAsia" w:ascii="宋体" w:hAnsi="宋体" w:cs="宋体"/>
          <w:color w:val="000000"/>
          <w:sz w:val="24"/>
          <w:highlight w:val="none"/>
        </w:rPr>
      </w:r>
      <w:r/>
    </w:p>
    <w:p>
      <w:pPr>
        <w:pStyle w:val="1026"/>
        <w:jc w:val="center"/>
        <w:rPr>
          <w:rFonts w:hint="eastAsia" w:hAnsi="宋体" w:cs="宋体"/>
          <w:color w:val="000000"/>
          <w:szCs w:val="24"/>
          <w:highlight w:val="none"/>
        </w:rPr>
      </w:pPr>
      <w:r>
        <w:rPr>
          <w:rFonts w:hint="eastAsia" w:hAnsi="宋体" w:cs="宋体"/>
          <w:color w:val="000000"/>
          <w:szCs w:val="24"/>
          <w:highlight w:val="none"/>
        </w:rPr>
        <w:t xml:space="preserve">第二章    组织与管理</w:t>
      </w:r>
      <w:r>
        <w:rPr>
          <w:rFonts w:hint="eastAsia" w:hAnsi="宋体" w:cs="宋体"/>
          <w:color w:val="000000"/>
          <w:szCs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第六条   高新区照明设施维护单位负责整个高新区范围内的照明设施及景观亮化设施的维护，包括照明设施箱式变及其他涉电设施。</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第七条   高新区照明设施维护必须由专业的维护单位进行维护管理，所有维护人员必须身体健康、证件齐全、持证上岗；日常维护使用的机械设备齐全。</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第八条   照明设施维修人员职责</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1、维护单位负责人负责单位人员的人身、交通、施工安全，把好技术质量关，做到文明安全施工，体现高新区照明设施管理维护单位良好的专业形象。</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2、维护单位要服从高新区管委会照明设施主管部门的领导，按时按质量完成维修工作任务，完成上级考核的亮灯率、设施完好率、及时修复率指标，完成临时交给的其他任务。</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3、维护单位维护人员要熟悉高新区照明设施设施情况，按照要求完成每天的巡查维修任务，不得遗漏不修。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4、维护单位负责人要安排专人做好每天的维修记录，修灯时设置安全标志，带好安全帽，注意车辆和行人动态，采取有效防范措施，进行高空、带电作业时，要密切观察工作范围的情况，确保安全。</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5、维修工作中及时发现问题、处理问题，并向维护单位负责人及高新区相关负责人汇报情况。</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6、千方百计节约能源和材料，爱护公物，做好材料的修旧利用工作，使三相负荷接近平衡，不得无故停止照明设施设施运行。</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第九条   巡查检修灯的种类及周期</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一、照明设施巡查检修工作按目的分为：</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1、定期性巡查维修；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2、特殊性巡查检修。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二、定期性巡查检修是根据维修照明设施经验和实际，维护单位根据高新区范围，结合设施量、光源类别、灯型等多种因素所决定，巡查检修周期规定如下：</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1、高新区道路照明设施每周四次；</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2、高新区景观设施每周四次；</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3、高新区照明设施箱式变每月两次。</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三、特殊性巡查检修是指属下列情况之一的巡修：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1、固定重大节日和重要的政治活动；</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2、遇有异常自然条件（如洪涝、台风、暴雨、强烈地震等）；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3、遇有人为的破坏（如被盗、交通事故等）。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四、巡查检修时间</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1、定期性照明设施、景观设施巡查检修是在每周一、周三、周五、周日每晚亮灯开始，因四季天黑天亮时间差别大，具体开关灯时间根据季节的变化而定。照明设施箱式变的定期巡查是在每月的5日、20日。</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2、特殊性巡查检修时间按当时工作需要而决定。</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第十条   巡查检修管理</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一、巡查检修应建立资料档案（相关表格见附件）。</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1、每次巡查必须填写详细的巡查日志。</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2、缺陷记录（包括道路照明、景观照明、交通信号 、公交站台、灯箱广告指示牌等）。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3、黑暗路段（路面照度差记录）。</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二、三率指标，每月进行查灯考核，并将考核结果上报领导。</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1、亮灯率：平均亮灯率不低于96%，重大节日和政治活动主干道不低于98%。</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2、设施完好率：95%。</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3、及时修复率：</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（1）灯具四件头（灯泡、镇流器、触发器、电容）故障1个工作日修复。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（2）常规线路路障2个工作日内修复。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（3）遇有线路设施被盗或自然灾害损坏，根据实际情况尽快修复。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（4）重大节日、政治活动，立即组织修复。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（5）对危及人身、交通安全的照明设施设施，一经发现，立即组织处理，尽快修复。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第十一条   为了节省电费开支，降低能耗，根据道路的交通流量，部分道路实行半晚减灯。</w:t>
      </w:r>
      <w:r>
        <w:rPr>
          <w:rFonts w:hint="eastAsia" w:ascii="宋体" w:hAnsi="宋体" w:cs="宋体"/>
          <w:color w:val="000000"/>
          <w:sz w:val="24"/>
          <w:highlight w:val="none"/>
        </w:rPr>
      </w:r>
      <w:r/>
    </w:p>
    <w:p>
      <w:pPr>
        <w:pStyle w:val="1026"/>
        <w:jc w:val="center"/>
        <w:rPr>
          <w:rFonts w:hint="eastAsia" w:hAnsi="宋体" w:cs="宋体"/>
          <w:color w:val="000000"/>
          <w:szCs w:val="24"/>
          <w:highlight w:val="none"/>
        </w:rPr>
      </w:pPr>
      <w:r>
        <w:rPr>
          <w:rFonts w:hint="eastAsia" w:hAnsi="宋体" w:cs="宋体"/>
          <w:color w:val="000000"/>
          <w:szCs w:val="24"/>
          <w:highlight w:val="none"/>
        </w:rPr>
        <w:t xml:space="preserve">第三章   巡查检修内容</w:t>
      </w:r>
      <w:r>
        <w:rPr>
          <w:rFonts w:hint="eastAsia" w:hAnsi="宋体" w:cs="宋体"/>
          <w:color w:val="000000"/>
          <w:szCs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第十二条   照明设施设施的巡查检修</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一、一般在晚上进行，但要随时掌握早上和半晚的运行情况。有下列情况之一引起灭灯的，均应在巡查检修中处理，如：</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1、灯泡寿命终了或管压过高形成偷停的灯；</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2、打泡或炸泡引起玻壳损坏，只剩灯芯或灯头；</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3、灯的电源引线松脱，或保险丝烧断等；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4、镇流器损坏、被盗或镇流器超温、噪音异常；</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5、灯头灯泡松动或照明方向不正；</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6、灯具灯臂转向移位；</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7、单灯、补偿电容器损坏应及时更换，不得省掉电容运行；</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8、触发器失效或工作不稳定；</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9、变压器低压保险、控制箱保险熔断应及时更换，控制箱内的接触器是否接触良好，时钟运行是否正常；</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10、每次修灯或时隔一年对灯具清扫一次。</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二、路灯杆的巡查维修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1、杆身是否倾斜、被撞、杆基有否下沉或变形现象，如有以下情况，应及时处理并逐级报告。</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2、水泥杆如有露筋、裂纹、掉块现象应及时报告。</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3、未经允许严禁在路灯杆上牵挂广告牌或横幅，一经发现即予拆除。</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4、每年对金属电杆的接地电阻测试一次，按地电阻不大于4Ω。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5、路灯共用杆发现问题时，属于我们管辖范围的，应及时处理，不属于我们管辖范围的，应及时报告并通知其负责人。</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三、补角灯、公交站台、灯箱式广告牌等大型景观灯的巡查检修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每周一、周三、周五、周日晚上巡灯，随时掌握半夜及早上亮灯、熄灯情况，对补角灯、公交站台、灯箱式广告灯需等深夜无需设置亮灯的亮化设施根据实际情况调整亮灯时间；对在巡查过程中发现问题的，有异常故障，要及时处理，组织抢修，尽快恢复正常。</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2、每周对配电箱检查一次，检查箱体、箱门有否受损，检查箱内各开关接头及电器是否良好，各电缆联接是否良好。</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3、每三个月对太阳能供电系统（新式公交站台、黄闪灯等）进行检查，确保各项设施完好，供电正常。</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4、每六个月检查内部电缆、灯具等设备是否良好，清除杂物和灰尘，更换不亮灯泡，清扫灯罩。</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5、每年对地脚螺丝的金属防腐蚀情况进行评估，对有锈蚀的地方，根据锈蚀情况，进行有效的防锈处理；对接地电阻进行一次测试，使接地电阻不大于4Ω，确保补角灯、景观灯的可靠强度和安全运行。</w:t>
      </w:r>
      <w:r>
        <w:rPr>
          <w:rFonts w:hint="eastAsia" w:ascii="宋体" w:hAnsi="宋体" w:cs="宋体"/>
          <w:color w:val="000000"/>
          <w:sz w:val="24"/>
          <w:highlight w:val="none"/>
        </w:rPr>
      </w:r>
      <w:r/>
    </w:p>
    <w:p>
      <w:pPr>
        <w:pStyle w:val="1023"/>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6、对以上检修的情况，做好记录存档。</w:t>
      </w:r>
      <w:r>
        <w:rPr>
          <w:rFonts w:hint="eastAsia" w:ascii="宋体" w:hAnsi="宋体" w:cs="宋体"/>
          <w:color w:val="000000"/>
          <w:sz w:val="24"/>
          <w:highlight w:val="none"/>
        </w:rPr>
      </w:r>
      <w:r/>
    </w:p>
    <w:p>
      <w:pPr>
        <w:pStyle w:val="1023"/>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第十三条   道口红绿灯、黄闪灯巡查检修</w:t>
      </w:r>
      <w:r>
        <w:rPr>
          <w:rFonts w:hint="eastAsia" w:ascii="宋体" w:hAnsi="宋体" w:cs="宋体"/>
          <w:color w:val="000000"/>
          <w:sz w:val="24"/>
          <w:highlight w:val="none"/>
        </w:rPr>
      </w:r>
      <w:r/>
    </w:p>
    <w:p>
      <w:pPr>
        <w:pStyle w:val="1023"/>
        <w:ind w:firstLine="57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1、每次巡查时对红绿灯运行情况进行查看，每周对红绿灯控制箱检查一次，检查箱体、箱门是否受损，检查内部线路接头机电器是否良好，发现问题及时维修处理。</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第十四条   地下电缆的巡查检修</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1、地下电缆路径上的路面是否正常，有无挖掘痕迹，如有施工单位施工，应提醒注意，并加强巡视。</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2、地缆线路上不得栽种树木，堆置重物、排泄化工污物、汽油、机油易燃物或埋设任何东西等。</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3、检查电缆有无破损，接头有否过热及烧蚀情况。</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4、低压电缆绝缘电阻用500伏摇表测量，绝缘电阻值必须在0.5MΩ以上。</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第十五条   照明设施箱式变的巡查检修</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1、维修人员应熟悉掌握照明设施箱式变设施、运行方式、控制方式、变压器和配盘供电容量及运行状况。</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2、每次巡查要对时间控制器进行查看，并要根据季节及天气变好随时调整照明设施的亮灯时间。</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3、照明设施箱式变保持清洁、明亮、有防止小动物窜入的有效措施。箱（室）是否漏雨积水，门窗齐全、电缆等设施齐全有效。</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4、开关断合标志、指示灯指示正确，空气开头、真空开头、磁吸开头、灭弧罩完整无烧痕，保险管完整，熔断丝工作正常，内部无响声。</w:t>
      </w:r>
      <w:r>
        <w:rPr>
          <w:rFonts w:hint="eastAsia" w:ascii="宋体" w:hAnsi="宋体" w:cs="宋体"/>
          <w:color w:val="000000"/>
          <w:sz w:val="24"/>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5、避雷器外壳无破损裂纹、内部无异声，接地良好。</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6、电缆绝缘良好，接头无过热、烧焦等现象。</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7、检查专用变压器及其他辅助设备高压令克、避雷器、低压保险、闸刀等是否运行正常。</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8、箱式变外观整洁、标识责任牌清晰；箱式内部各回路标识清晰、操作规程明确，箱式维护日志齐全。</w:t>
      </w:r>
      <w:r>
        <w:rPr>
          <w:rFonts w:hint="eastAsia" w:ascii="宋体" w:hAnsi="宋体" w:cs="宋体"/>
          <w:color w:val="000000"/>
          <w:sz w:val="24"/>
          <w:highlight w:val="none"/>
        </w:rPr>
      </w:r>
      <w:r/>
    </w:p>
    <w:p>
      <w:pPr>
        <w:pStyle w:val="1026"/>
        <w:jc w:val="center"/>
        <w:rPr>
          <w:rFonts w:hint="eastAsia" w:hAnsi="宋体" w:cs="宋体"/>
          <w:color w:val="000000"/>
          <w:szCs w:val="24"/>
          <w:highlight w:val="none"/>
        </w:rPr>
      </w:pPr>
      <w:r>
        <w:rPr>
          <w:rFonts w:hint="eastAsia" w:hAnsi="宋体" w:cs="宋体"/>
          <w:color w:val="000000"/>
          <w:szCs w:val="24"/>
          <w:highlight w:val="none"/>
        </w:rPr>
        <w:t xml:space="preserve">第四章       资料签证管理</w:t>
      </w:r>
      <w:r>
        <w:rPr>
          <w:rFonts w:hint="eastAsia" w:hAnsi="宋体" w:cs="宋体"/>
          <w:color w:val="000000"/>
          <w:szCs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第十六条 签证资料要按照高新区规定的格式进行，并且签证内容应该包括维护项目的任务派遣单、维护的时间、项目的地点及维护工作的具体内容，签证中所涉及的机械必须有规格型号，所用的材料必须有规格型号及数量，维护过程还必须有图片资料。</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第十七条 签证资料的基本程序：根据任务派遣单现场查看工作内容——施工过程中隐蔽项目检查——项目结束后及时做好资料并联系监理及市政管理负责人现场核量。</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第十八条  每年一次审计，每年11月30日前由施工单位将一年来的签证资料统计汇总成《照明设施维护项目签证汇总表》，并同时上报决算，经管理单位审核后上交审计单位用于最终审计。</w:t>
      </w:r>
      <w:r>
        <w:rPr>
          <w:rFonts w:hint="eastAsia" w:ascii="宋体" w:hAnsi="宋体" w:cs="宋体"/>
          <w:color w:val="000000"/>
          <w:sz w:val="24"/>
          <w:highlight w:val="none"/>
        </w:rPr>
      </w:r>
      <w:r/>
    </w:p>
    <w:p>
      <w:pPr>
        <w:pStyle w:val="1026"/>
        <w:jc w:val="center"/>
        <w:rPr>
          <w:rFonts w:hint="eastAsia" w:hAnsi="宋体" w:cs="宋体"/>
          <w:color w:val="000000"/>
          <w:szCs w:val="24"/>
          <w:highlight w:val="none"/>
        </w:rPr>
      </w:pPr>
      <w:r>
        <w:rPr>
          <w:rFonts w:hint="eastAsia" w:hAnsi="宋体" w:cs="宋体"/>
          <w:color w:val="000000"/>
          <w:szCs w:val="24"/>
          <w:highlight w:val="none"/>
        </w:rPr>
        <w:t xml:space="preserve">第五章       考核及惩罚</w:t>
      </w:r>
      <w:r>
        <w:rPr>
          <w:rFonts w:hint="eastAsia" w:hAnsi="宋体" w:cs="宋体"/>
          <w:color w:val="000000"/>
          <w:szCs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第二十条  每月进行一次考核，考核内容详见考核表格（见附件）。</w:t>
      </w:r>
      <w:r>
        <w:rPr>
          <w:rFonts w:hint="eastAsia" w:ascii="宋体" w:hAnsi="宋体" w:cs="宋体"/>
          <w:color w:val="000000"/>
          <w:sz w:val="24"/>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第二十一条 考核不及格则按照事先约定的惩罚制度进行惩罚。</w:t>
      </w:r>
      <w:r>
        <w:rPr>
          <w:rFonts w:hint="eastAsia" w:ascii="宋体" w:hAnsi="宋体" w:cs="宋体"/>
          <w:color w:val="000000"/>
          <w:sz w:val="24"/>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54"/>
        <w:tabs>
          <w:tab w:val="left" w:pos="567" w:leader="none"/>
        </w:tabs>
        <w:rPr>
          <w:rFonts w:hint="eastAsia" w:cs="宋体"/>
          <w:color w:val="000000"/>
          <w:highlight w:val="none"/>
        </w:rPr>
      </w:pPr>
      <w:r>
        <w:rPr>
          <w:rFonts w:hint="eastAsia" w:cs="宋体"/>
          <w:color w:val="000000"/>
          <w:highlight w:val="none"/>
        </w:rPr>
      </w:r>
      <w:r/>
    </w:p>
    <w:p>
      <w:pPr>
        <w:pStyle w:val="1023"/>
        <w:jc w:val="center"/>
        <w:rPr>
          <w:rFonts w:hint="eastAsia" w:ascii="宋体" w:hAnsi="宋体" w:cs="宋体"/>
          <w:b/>
          <w:color w:val="000000"/>
          <w:sz w:val="36"/>
          <w:szCs w:val="36"/>
          <w:highlight w:val="none"/>
        </w:rPr>
      </w:pPr>
      <w:r>
        <w:rPr>
          <w:rFonts w:hint="eastAsia" w:ascii="宋体" w:hAnsi="宋体" w:cs="宋体"/>
          <w:b/>
          <w:color w:val="000000"/>
          <w:sz w:val="36"/>
          <w:szCs w:val="36"/>
          <w:highlight w:val="none"/>
        </w:rPr>
        <w:br w:type="page" w:clear="all"/>
      </w:r>
      <w:r>
        <w:rPr>
          <w:rFonts w:hint="eastAsia" w:ascii="宋体" w:hAnsi="宋体" w:cs="宋体"/>
          <w:b/>
          <w:color w:val="000000"/>
          <w:sz w:val="36"/>
          <w:szCs w:val="36"/>
          <w:highlight w:val="none"/>
        </w:rPr>
        <w:t xml:space="preserve">武进国家高新区照明设施管理考核办法</w:t>
      </w:r>
      <w:r>
        <w:rPr>
          <w:rFonts w:hint="eastAsia" w:ascii="宋体" w:hAnsi="宋体" w:cs="宋体"/>
          <w:b/>
          <w:color w:val="000000"/>
          <w:sz w:val="36"/>
          <w:szCs w:val="36"/>
          <w:highlight w:val="none"/>
        </w:rPr>
      </w:r>
      <w:r/>
    </w:p>
    <w:p>
      <w:pPr>
        <w:pStyle w:val="1023"/>
        <w:rPr>
          <w:rFonts w:hint="eastAsia" w:ascii="宋体" w:hAnsi="宋体" w:cs="宋体"/>
          <w:b/>
          <w:color w:val="000000"/>
          <w:sz w:val="20"/>
          <w:highlight w:val="none"/>
        </w:rPr>
      </w:pPr>
      <w:r>
        <w:rPr>
          <w:rFonts w:hint="eastAsia" w:ascii="宋体" w:hAnsi="宋体" w:cs="宋体"/>
          <w:b/>
          <w:color w:val="000000"/>
          <w:sz w:val="20"/>
          <w:highlight w:val="none"/>
        </w:rPr>
      </w:r>
      <w:r/>
    </w:p>
    <w:tbl>
      <w:tblPr>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576"/>
        <w:gridCol w:w="1296"/>
        <w:gridCol w:w="3573"/>
        <w:gridCol w:w="427"/>
        <w:gridCol w:w="3415"/>
      </w:tblGrid>
      <w:tr>
        <w:trPr>
          <w:trHeight w:val="454"/>
          <w:tblHeader/>
        </w:trPr>
        <w:tc>
          <w:tcPr>
            <w:tcBorders>
              <w:top w:val="single" w:color="000000" w:sz="4" w:space="0"/>
              <w:left w:val="single" w:color="000000" w:sz="4" w:space="0"/>
              <w:bottom w:val="single" w:color="000000" w:sz="4" w:space="0"/>
              <w:right w:val="single" w:color="000000" w:sz="4" w:space="0"/>
            </w:tcBorders>
            <w:tcW w:w="298" w:type="dxa"/>
            <w:vAlign w:val="center"/>
            <w:textDirection w:val="lrTb"/>
            <w:noWrap w:val="false"/>
          </w:tcPr>
          <w:p>
            <w:pPr>
              <w:pStyle w:val="1023"/>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项目</w:t>
            </w:r>
            <w:r>
              <w:rPr>
                <w:rFonts w:hint="eastAsia" w:ascii="宋体" w:hAnsi="宋体" w:cs="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1023"/>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考核项目</w:t>
            </w:r>
            <w:r>
              <w:rPr>
                <w:rFonts w:hint="eastAsia" w:ascii="宋体" w:hAnsi="宋体" w:cs="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考核标准</w:t>
            </w:r>
            <w:r>
              <w:rPr>
                <w:rFonts w:hint="eastAsia" w:ascii="宋体" w:hAnsi="宋体" w:cs="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分值</w:t>
            </w:r>
            <w:r>
              <w:rPr>
                <w:rFonts w:hint="eastAsia" w:ascii="宋体" w:hAnsi="宋体" w:cs="宋体"/>
                <w:b/>
                <w:bCs/>
                <w:color w:val="000000"/>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jc w:val="center"/>
              <w:widowControl/>
              <w:rPr>
                <w:rFonts w:hint="eastAsia" w:ascii="宋体" w:hAnsi="宋体" w:cs="宋体"/>
                <w:b/>
                <w:bCs/>
                <w:color w:val="000000"/>
                <w:highlight w:val="none"/>
              </w:rPr>
            </w:pPr>
            <w:r>
              <w:rPr>
                <w:rFonts w:hint="eastAsia" w:ascii="宋体" w:hAnsi="宋体" w:cs="宋体"/>
                <w:b/>
                <w:bCs/>
                <w:color w:val="000000"/>
                <w:highlight w:val="none"/>
              </w:rPr>
              <w:t xml:space="preserve">考核评分细则</w:t>
            </w:r>
            <w:r>
              <w:rPr>
                <w:rFonts w:hint="eastAsia" w:ascii="宋体" w:hAnsi="宋体" w:cs="宋体"/>
                <w:b/>
                <w:bCs/>
                <w:color w:val="000000"/>
                <w:highlight w:val="none"/>
              </w:rPr>
            </w:r>
            <w:r/>
          </w:p>
        </w:tc>
      </w:tr>
      <w:tr>
        <w:trPr>
          <w:trHeight w:val="1075"/>
        </w:trPr>
        <w:tc>
          <w:tcPr>
            <w:tcBorders>
              <w:top w:val="none" w:color="000000" w:sz="4" w:space="0"/>
              <w:left w:val="single" w:color="000000" w:sz="4" w:space="0"/>
              <w:bottom w:val="none" w:color="000000" w:sz="0" w:space="0"/>
              <w:right w:val="single" w:color="000000" w:sz="4" w:space="0"/>
            </w:tcBorders>
            <w:tcW w:w="298" w:type="dxa"/>
            <w:vAlign w:val="center"/>
            <w:vMerge w:val="restart"/>
            <w:textDirection w:val="lrTb"/>
            <w:noWrap w:val="false"/>
          </w:tcPr>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基础</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管理</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（45分）</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机械人员配置</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（15分）</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维修机械设备配置完备，车辆完整、运行正常、各类车辆手续到位；保养措施到位，车辆外观整洁，形象良好。2、人员配置完备、持证上岗；工作人员要求符合国家法律规定；工人人身意外保险交纳到位，不拖欠农民工工资。</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20</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机械配置不完备发现一次一项扣10分；不按照规范要求操作，发现一次一次扣2分；固定人员配置不到位发现一次一项扣5分；意外保险不到位扣2分；拖欠农民工工资发现一次扣5分；工人使用不符合国家法律发现一次扣除5分；</w:t>
            </w:r>
            <w:r>
              <w:rPr>
                <w:rFonts w:hint="eastAsia" w:ascii="宋体" w:hAnsi="宋体" w:cs="宋体"/>
                <w:color w:val="000000"/>
                <w:sz w:val="18"/>
                <w:szCs w:val="18"/>
                <w:highlight w:val="none"/>
              </w:rPr>
            </w:r>
            <w:r/>
          </w:p>
        </w:tc>
      </w:tr>
      <w:tr>
        <w:trPr>
          <w:trHeight w:val="761"/>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center"/>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安全文明施工</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1、安全制度上墙、定期安全培训教育、安全设施配备齐全。2、人员着装统一，挂牌上岗；机械标牌齐全、车辆整洁。3、严禁野蛮施工，施工过程中不得破坏其它市政设施，施工结束清理干净施工现场。</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未制定安全制度、未进行安全教育发现一项扣除2分；安全设施不齐全，发现一次一项扣除2分；施工人员着装不到位、未挂牌上岗发现一次1人扣1分；机械车辆标识不到位、车辆不整洁发现一项一次扣2分；施工现场不规范、污染破坏其他设施每次扣2分。</w:t>
            </w:r>
            <w:r>
              <w:rPr>
                <w:rFonts w:hint="eastAsia" w:ascii="宋体" w:hAnsi="宋体" w:cs="宋体"/>
                <w:color w:val="000000"/>
                <w:sz w:val="18"/>
                <w:szCs w:val="18"/>
                <w:highlight w:val="none"/>
              </w:rPr>
            </w:r>
            <w:r/>
          </w:p>
        </w:tc>
      </w:tr>
      <w:tr>
        <w:trPr>
          <w:trHeight w:val="51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项目资料</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基础资料齐全、台帐健全；巡查报告、月维修记录、月用电量、维护工作签证、项目资料能按要求及时完整报送。</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基本资料、台账不齐全、月维修记录、月用电量每次扣除2分；</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未按规定要求及时报送巡查资料、维护项目签证资料，每次每项扣2分；</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未按规定要求及时报送项目过程资料、项目竣工资料，每次每项扣2分。</w:t>
            </w:r>
            <w:r>
              <w:rPr>
                <w:rFonts w:hint="eastAsia" w:ascii="宋体" w:hAnsi="宋体" w:cs="宋体"/>
                <w:color w:val="000000"/>
                <w:sz w:val="18"/>
                <w:szCs w:val="18"/>
                <w:highlight w:val="none"/>
              </w:rPr>
            </w:r>
            <w:r/>
          </w:p>
        </w:tc>
      </w:tr>
      <w:tr>
        <w:trPr>
          <w:trHeight w:val="51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社会曝光投诉</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及时处理抢险救灾等突发事件，无社会投诉和媒体曝光。</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日常工作中未及时处理突发事件每次扣1分，查实的社会投诉每次扣2分，媒体曝光扣3分，被领导批评的每次扣2分，被市、区考核办扣分的每次扣3分。</w:t>
            </w:r>
            <w:r>
              <w:rPr>
                <w:rFonts w:hint="eastAsia" w:ascii="宋体" w:hAnsi="宋体" w:cs="宋体"/>
                <w:color w:val="000000"/>
                <w:sz w:val="18"/>
                <w:szCs w:val="18"/>
                <w:highlight w:val="none"/>
              </w:rPr>
            </w:r>
            <w:r/>
          </w:p>
        </w:tc>
      </w:tr>
      <w:tr>
        <w:trPr>
          <w:trHeight w:val="406"/>
        </w:trPr>
        <w:tc>
          <w:tcPr>
            <w:tcBorders>
              <w:top w:val="none" w:color="000000" w:sz="0" w:space="0"/>
              <w:left w:val="single" w:color="000000" w:sz="4" w:space="0"/>
              <w:bottom w:val="single" w:color="000000" w:sz="4"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临时突击任务</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（5分）</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按时保质完成高新区安排的突击（临时）任务。</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未按时保质完成高新区安排的突击（临时）任务，每次扣2分。</w:t>
            </w:r>
            <w:r>
              <w:rPr>
                <w:rFonts w:hint="eastAsia" w:ascii="宋体" w:hAnsi="宋体" w:cs="宋体"/>
                <w:color w:val="000000"/>
                <w:sz w:val="18"/>
                <w:szCs w:val="18"/>
                <w:highlight w:val="none"/>
              </w:rPr>
            </w:r>
            <w:r/>
          </w:p>
        </w:tc>
      </w:tr>
      <w:tr>
        <w:trPr>
          <w:trHeight w:val="556"/>
        </w:trPr>
        <w:tc>
          <w:tcPr>
            <w:tcBorders>
              <w:top w:val="none" w:color="000000" w:sz="4" w:space="0"/>
              <w:left w:val="single" w:color="000000" w:sz="4" w:space="0"/>
              <w:bottom w:val="none" w:color="000000" w:sz="0" w:space="0"/>
              <w:right w:val="single" w:color="000000" w:sz="4" w:space="0"/>
            </w:tcBorders>
            <w:tcW w:w="298" w:type="dxa"/>
            <w:vAlign w:val="center"/>
            <w:vMerge w:val="restart"/>
            <w:textDirection w:val="lrTb"/>
            <w:noWrap w:val="false"/>
          </w:tcPr>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维护</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工作</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考核</w:t>
            </w:r>
            <w:r>
              <w:rPr>
                <w:rFonts w:hint="eastAsia" w:ascii="宋体" w:hAnsi="宋体" w:cs="宋体"/>
                <w:color w:val="000000"/>
                <w:sz w:val="18"/>
                <w:szCs w:val="18"/>
                <w:highlight w:val="none"/>
              </w:rPr>
            </w:r>
            <w:r/>
          </w:p>
          <w:p>
            <w:pPr>
              <w:pStyle w:val="1023"/>
              <w:jc w:val="center"/>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（55分）</w:t>
            </w:r>
            <w:r>
              <w:rPr>
                <w:rFonts w:hint="eastAsia" w:ascii="宋体" w:hAnsi="宋体" w:cs="宋体"/>
                <w:color w:val="000000"/>
                <w:sz w:val="18"/>
                <w:szCs w:val="18"/>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路灯设施</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（25分）</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ind w:left="270" w:hanging="270"/>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1、路灯灯杆：灯杆无倾斜、无变形；灯臂平直，无转向、移位情况；固定螺栓螺母无松动、无脱离。</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出现以上情况一次一项扣除1分。</w:t>
            </w:r>
            <w:r>
              <w:rPr>
                <w:rFonts w:hint="eastAsia" w:ascii="宋体" w:hAnsi="宋体" w:cs="宋体"/>
                <w:color w:val="000000"/>
                <w:sz w:val="18"/>
                <w:szCs w:val="18"/>
                <w:highlight w:val="none"/>
              </w:rPr>
            </w:r>
            <w:r/>
          </w:p>
        </w:tc>
      </w:tr>
      <w:tr>
        <w:trPr>
          <w:trHeight w:val="394"/>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2、路灯灯具：灯盖无翻开情况；灯头不缺失；灯照明方向准确。</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出现以上情况一次一项扣除1分。</w:t>
            </w:r>
            <w:r>
              <w:rPr>
                <w:rFonts w:hint="eastAsia" w:ascii="宋体" w:hAnsi="宋体" w:cs="宋体"/>
                <w:color w:val="000000"/>
                <w:sz w:val="18"/>
                <w:szCs w:val="18"/>
                <w:highlight w:val="none"/>
              </w:rPr>
            </w:r>
            <w:r/>
          </w:p>
        </w:tc>
      </w:tr>
      <w:tr>
        <w:trPr>
          <w:trHeight w:val="456"/>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3、路灯基础：灯杆包封到位；基础无开裂变形、下沉；</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出现以上情况一次一项扣除1分。</w:t>
            </w:r>
            <w:r>
              <w:rPr>
                <w:rFonts w:hint="eastAsia" w:ascii="宋体" w:hAnsi="宋体" w:cs="宋体"/>
                <w:color w:val="000000"/>
                <w:sz w:val="18"/>
                <w:szCs w:val="18"/>
                <w:highlight w:val="none"/>
              </w:rPr>
            </w:r>
            <w:r/>
          </w:p>
        </w:tc>
      </w:tr>
      <w:tr>
        <w:trPr>
          <w:trHeight w:val="462"/>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4、路灯灯门、编号牌：灯杆灯门无缺盖情况；灯杆编号牌齐备准确。</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出现以上情况一次一项扣除1分。</w:t>
            </w:r>
            <w:r>
              <w:rPr>
                <w:rFonts w:hint="eastAsia" w:ascii="宋体" w:hAnsi="宋体" w:cs="宋体"/>
                <w:color w:val="000000"/>
                <w:sz w:val="18"/>
                <w:szCs w:val="18"/>
                <w:highlight w:val="none"/>
              </w:rPr>
            </w:r>
            <w:r/>
          </w:p>
        </w:tc>
      </w:tr>
      <w:tr>
        <w:trPr>
          <w:trHeight w:val="596"/>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5、路灯亮灯率：亮灯率98%以上</w:t>
            </w:r>
            <w:r>
              <w:rPr>
                <w:rFonts w:hint="eastAsia" w:ascii="宋体" w:hAnsi="宋体" w:cs="宋体"/>
                <w:color w:val="000000"/>
                <w:sz w:val="20"/>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亮灯率低于90%扣除5分，亮灯率低于96%扣除2分；同一路段连续性不亮路灯超过3盏，时间超过48小时，扣除5分。</w:t>
            </w:r>
            <w:r>
              <w:rPr>
                <w:rFonts w:hint="eastAsia" w:ascii="宋体" w:hAnsi="宋体" w:cs="宋体"/>
                <w:color w:val="000000"/>
                <w:sz w:val="18"/>
                <w:szCs w:val="18"/>
                <w:highlight w:val="none"/>
              </w:rPr>
            </w:r>
            <w:r/>
          </w:p>
        </w:tc>
      </w:tr>
      <w:tr>
        <w:trPr>
          <w:trHeight w:val="544"/>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4" w:space="0"/>
              <w:left w:val="single" w:color="000000" w:sz="4" w:space="0"/>
              <w:bottom w:val="single" w:color="000000" w:sz="4" w:space="0"/>
              <w:right w:val="single" w:color="000000" w:sz="4" w:space="0"/>
            </w:tcBorders>
            <w:tcW w:w="457" w:type="dxa"/>
            <w:vAlign w:val="center"/>
            <w:vMerge w:val="restart"/>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景观亮化</w:t>
            </w:r>
            <w:r>
              <w:rPr>
                <w:rFonts w:hint="eastAsia" w:ascii="宋体" w:hAnsi="宋体" w:cs="宋体"/>
                <w:color w:val="000000"/>
                <w:sz w:val="18"/>
                <w:szCs w:val="18"/>
                <w:highlight w:val="none"/>
              </w:rPr>
            </w:r>
            <w:r/>
          </w:p>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（10分）</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1、已具备亮化条件的公交站台、灯箱广告设施及时亮化。</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hint="eastAsia" w:ascii="宋体" w:hAnsi="宋体" w:cs="宋体"/>
                <w:color w:val="000000"/>
                <w:sz w:val="18"/>
                <w:szCs w:val="18"/>
                <w:highlight w:val="none"/>
              </w:rPr>
            </w:r>
            <w:r/>
          </w:p>
        </w:tc>
        <w:tc>
          <w:tcPr>
            <w:tcBorders>
              <w:top w:val="non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出现以上情况一次一项扣除2分，连续出现两次，时间超过48小时，直接扣除5分。</w:t>
            </w:r>
            <w:r>
              <w:rPr>
                <w:rFonts w:hint="eastAsia" w:ascii="宋体" w:hAnsi="宋体" w:cs="宋体"/>
                <w:color w:val="000000"/>
                <w:sz w:val="18"/>
                <w:szCs w:val="18"/>
                <w:highlight w:val="none"/>
              </w:rPr>
            </w:r>
            <w:r/>
          </w:p>
        </w:tc>
      </w:tr>
      <w:tr>
        <w:trPr>
          <w:trHeight w:val="69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2、沿江高速等景观亮化要求亮灯率96%以上。</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亮灯率低于规定亮灯率一次扣除2分，时间超过48小时，连续出现两次直接扣除5分。</w:t>
            </w:r>
            <w:r>
              <w:rPr>
                <w:rFonts w:hint="eastAsia" w:ascii="宋体" w:hAnsi="宋体" w:cs="宋体"/>
                <w:color w:val="000000"/>
                <w:sz w:val="18"/>
                <w:szCs w:val="18"/>
                <w:highlight w:val="none"/>
              </w:rPr>
            </w:r>
            <w:r/>
          </w:p>
        </w:tc>
      </w:tr>
      <w:tr>
        <w:trPr>
          <w:trHeight w:val="69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single" w:color="000000" w:sz="4" w:space="0"/>
              <w:bottom w:val="single" w:color="000000" w:sz="4" w:space="0"/>
              <w:right w:val="single" w:color="000000" w:sz="4" w:space="0"/>
            </w:tcBorders>
            <w:tcW w:w="457"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红绿灯（5分）</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1、红绿灯运行情况：红绿灯运行正常</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出现以上情况一次一项扣除2分，连续出现两次直接扣除5分。</w:t>
            </w:r>
            <w:r>
              <w:rPr>
                <w:rFonts w:hint="eastAsia" w:ascii="宋体" w:hAnsi="宋体" w:cs="宋体"/>
                <w:color w:val="000000"/>
                <w:sz w:val="18"/>
                <w:szCs w:val="18"/>
                <w:highlight w:val="none"/>
              </w:rPr>
            </w:r>
            <w:r/>
          </w:p>
        </w:tc>
      </w:tr>
      <w:tr>
        <w:trPr>
          <w:trHeight w:val="69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single" w:color="000000" w:sz="4" w:space="0"/>
              <w:bottom w:val="none" w:color="000000" w:sz="0" w:space="0"/>
              <w:right w:val="single" w:color="000000" w:sz="4" w:space="0"/>
            </w:tcBorders>
            <w:tcW w:w="457" w:type="dxa"/>
            <w:vAlign w:val="center"/>
            <w:vMerge w:val="restart"/>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18"/>
                <w:szCs w:val="18"/>
                <w:highlight w:val="none"/>
              </w:rPr>
              <w:t xml:space="preserve">箱式变（10分）</w:t>
            </w: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1、箱变内卫生情况：路灯箱式变内保持整洁、有防止小动物进入的措施，要定期对箱变内卫生进行清洁整理。</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箱式变内脏乱差，发现一次扣除1分；因小动物进入引起设备损坏，出现一次扣除2分。</w:t>
            </w:r>
            <w:r>
              <w:rPr>
                <w:rFonts w:hint="eastAsia" w:ascii="宋体" w:hAnsi="宋体" w:cs="宋体"/>
                <w:color w:val="000000"/>
                <w:sz w:val="18"/>
                <w:szCs w:val="18"/>
                <w:highlight w:val="none"/>
              </w:rPr>
            </w:r>
            <w:r/>
          </w:p>
        </w:tc>
      </w:tr>
      <w:tr>
        <w:trPr>
          <w:trHeight w:val="690"/>
        </w:trPr>
        <w:tc>
          <w:tcPr>
            <w:tcBorders>
              <w:top w:val="none" w:color="000000" w:sz="0" w:space="0"/>
              <w:left w:val="single" w:color="000000" w:sz="4" w:space="0"/>
              <w:bottom w:val="none" w:color="000000" w:sz="0"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0" w:space="0"/>
              <w:left w:val="single" w:color="000000" w:sz="4" w:space="0"/>
              <w:bottom w:val="none" w:color="000000" w:sz="0"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2、箱变设备配置：箱变内防盗、防火等安全措施齐全；箱变外围栏齐全。</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箱变内安全措施缺少一项一次扣1分；围栏不齐全或有缺失发现一处扣除2分。</w:t>
            </w:r>
            <w:r>
              <w:rPr>
                <w:rFonts w:hint="eastAsia" w:ascii="宋体" w:hAnsi="宋体" w:cs="宋体"/>
                <w:color w:val="000000"/>
                <w:sz w:val="18"/>
                <w:szCs w:val="18"/>
                <w:highlight w:val="none"/>
              </w:rPr>
            </w:r>
            <w:r/>
          </w:p>
        </w:tc>
      </w:tr>
      <w:tr>
        <w:trPr>
          <w:trHeight w:val="690"/>
        </w:trPr>
        <w:tc>
          <w:tcPr>
            <w:tcBorders>
              <w:top w:val="none" w:color="000000" w:sz="0" w:space="0"/>
              <w:left w:val="single" w:color="000000" w:sz="4" w:space="0"/>
              <w:bottom w:val="single" w:color="000000" w:sz="4" w:space="0"/>
              <w:right w:val="single" w:color="000000" w:sz="4" w:space="0"/>
            </w:tcBorders>
            <w:tcW w:w="298" w:type="dxa"/>
            <w:vAlign w:val="center"/>
            <w:vMerge w:val="continue"/>
            <w:textDirection w:val="lrTb"/>
            <w:noWrap w:val="false"/>
          </w:tcPr>
          <w:p>
            <w:pPr>
              <w:pStyle w:val="1023"/>
              <w:jc w:val="left"/>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none" w:color="000000" w:sz="0" w:space="0"/>
              <w:left w:val="single" w:color="000000" w:sz="4" w:space="0"/>
              <w:bottom w:val="single" w:color="000000" w:sz="4" w:space="0"/>
              <w:right w:val="single" w:color="000000" w:sz="4" w:space="0"/>
            </w:tcBorders>
            <w:tcW w:w="457" w:type="dxa"/>
            <w:vAlign w:val="center"/>
            <w:vMerge w:val="continue"/>
            <w:textDirection w:val="lrTb"/>
            <w:noWrap w:val="false"/>
          </w:tcPr>
          <w:p>
            <w:pPr>
              <w:pStyle w:val="1023"/>
              <w:widowControl/>
              <w:rPr>
                <w:rFonts w:hint="eastAsia" w:ascii="宋体" w:hAnsi="宋体" w:cs="宋体"/>
                <w:color w:val="000000"/>
                <w:sz w:val="20"/>
                <w:highlight w:val="none"/>
              </w:rPr>
            </w:pPr>
            <w:r>
              <w:rPr>
                <w:rFonts w:hint="eastAsia" w:ascii="宋体" w:hAnsi="宋体" w:cs="宋体"/>
                <w:color w:val="000000"/>
                <w:sz w:val="20"/>
                <w:highlight w:val="none"/>
              </w:rPr>
            </w:r>
            <w:r/>
          </w:p>
        </w:tc>
        <w:tc>
          <w:tcPr>
            <w:tcBorders>
              <w:top w:val="single" w:color="000000" w:sz="4" w:space="0"/>
              <w:left w:val="none" w:color="000000" w:sz="4" w:space="0"/>
              <w:bottom w:val="single" w:color="000000" w:sz="4" w:space="0"/>
              <w:right w:val="single" w:color="000000" w:sz="4" w:space="0"/>
            </w:tcBorders>
            <w:tcW w:w="2008"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3、箱变内设施运行：箱变防盗监控运行正常；时控器运行正常，且亮灯时间准确；箱变内设备定期维护保养。</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245"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r>
            <w:r/>
          </w:p>
        </w:tc>
        <w:tc>
          <w:tcPr>
            <w:tcBorders>
              <w:top w:val="single" w:color="000000" w:sz="4" w:space="0"/>
              <w:left w:val="none" w:color="000000" w:sz="4" w:space="0"/>
              <w:bottom w:val="single" w:color="000000" w:sz="4" w:space="0"/>
              <w:right w:val="single" w:color="000000" w:sz="4" w:space="0"/>
            </w:tcBorders>
            <w:tcW w:w="1992" w:type="dxa"/>
            <w:vAlign w:val="center"/>
            <w:textDirection w:val="lrTb"/>
            <w:noWrap w:val="false"/>
          </w:tcPr>
          <w:p>
            <w:pPr>
              <w:pStyle w:val="1023"/>
              <w:widowControl/>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出现以上情况一次一项扣除2分，连续出现两次直接扣除4分。</w:t>
            </w:r>
            <w:r>
              <w:rPr>
                <w:rFonts w:hint="eastAsia" w:ascii="宋体" w:hAnsi="宋体" w:cs="宋体"/>
                <w:color w:val="000000"/>
                <w:sz w:val="18"/>
                <w:szCs w:val="18"/>
                <w:highlight w:val="none"/>
              </w:rPr>
            </w:r>
            <w:r/>
          </w:p>
        </w:tc>
      </w:tr>
    </w:tbl>
    <w:p>
      <w:pPr>
        <w:pStyle w:val="1023"/>
        <w:rPr>
          <w:rFonts w:hint="eastAsia" w:ascii="宋体" w:hAnsi="宋体" w:cs="宋体"/>
          <w:b/>
          <w:color w:val="000000"/>
          <w:sz w:val="20"/>
          <w:highlight w:val="none"/>
        </w:rPr>
      </w:pPr>
      <w:r>
        <w:rPr>
          <w:rFonts w:hint="eastAsia" w:ascii="宋体" w:hAnsi="宋体" w:cs="宋体"/>
          <w:b/>
          <w:color w:val="000000"/>
          <w:sz w:val="20"/>
          <w:highlight w:val="none"/>
        </w:rPr>
      </w:r>
      <w:r/>
    </w:p>
    <w:p>
      <w:pPr>
        <w:pStyle w:val="1023"/>
        <w:jc w:val="left"/>
        <w:spacing w:before="120" w:line="300" w:lineRule="auto"/>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23"/>
        <w:ind w:firstLine="480"/>
        <w:jc w:val="center"/>
        <w:spacing w:line="360" w:lineRule="auto"/>
        <w:widowControl/>
        <w:rPr>
          <w:b/>
          <w:color w:val="000000"/>
          <w:sz w:val="36"/>
          <w:szCs w:val="36"/>
          <w:highlight w:val="none"/>
        </w:rPr>
      </w:pPr>
      <w:r>
        <w:rPr>
          <w:b/>
          <w:color w:val="000000"/>
          <w:sz w:val="36"/>
          <w:szCs w:val="36"/>
          <w:highlight w:val="none"/>
        </w:rPr>
      </w:r>
      <w:r/>
    </w:p>
    <w:p>
      <w:pPr>
        <w:pStyle w:val="102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3"/>
        <w:rPr>
          <w:rFonts w:hint="eastAsia"/>
          <w:color w:val="000000"/>
          <w:highlight w:val="none"/>
        </w:rPr>
      </w:pPr>
      <w:r>
        <w:rPr>
          <w:rFonts w:hint="eastAsia"/>
          <w:color w:val="000000"/>
          <w:highlight w:val="none"/>
        </w:rPr>
      </w:r>
      <w:r/>
    </w:p>
    <w:p>
      <w:pPr>
        <w:pStyle w:val="102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26"/>
        <w:rPr>
          <w:rFonts w:hint="eastAsia" w:ascii="宋体" w:hAnsi="宋体" w:eastAsia="宋体" w:cs="宋体"/>
          <w:color w:val="000000"/>
          <w:sz w:val="24"/>
          <w:szCs w:val="24"/>
          <w:highlight w:val="none"/>
        </w:rPr>
        <w:sectPr>
          <w:footerReference w:type="default" r:id="rId15"/>
          <w:footerReference w:type="even" r:id="rId16"/>
          <w:footerReference w:type="first" r:id="rId17"/>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eastAsia="宋体" w:cs="宋体"/>
          <w:color w:val="000000"/>
          <w:sz w:val="24"/>
          <w:szCs w:val="24"/>
          <w:highlight w:val="none"/>
        </w:rPr>
      </w:r>
      <w:r/>
    </w:p>
    <w:p>
      <w:pPr>
        <w:pStyle w:val="1023"/>
        <w:ind w:firstLine="480"/>
        <w:jc w:val="center"/>
        <w:spacing w:line="360" w:lineRule="auto"/>
        <w:widowControl/>
        <w:rPr>
          <w:b/>
          <w:color w:val="000000"/>
          <w:sz w:val="36"/>
          <w:szCs w:val="36"/>
          <w:highlight w:val="none"/>
        </w:rPr>
      </w:pPr>
      <w:r/>
      <w:bookmarkStart w:id="288" w:name="_Toc99301426"/>
      <w:r>
        <w:rPr>
          <w:b/>
          <w:color w:val="000000"/>
          <w:sz w:val="36"/>
          <w:szCs w:val="36"/>
          <w:highlight w:val="none"/>
        </w:rPr>
        <w:t xml:space="preserve">第七章</w:t>
      </w:r>
      <w:r>
        <w:rPr>
          <w:rFonts w:hint="eastAsia"/>
          <w:b/>
          <w:color w:val="000000"/>
          <w:sz w:val="36"/>
          <w:szCs w:val="36"/>
          <w:highlight w:val="none"/>
        </w:rPr>
        <w:t xml:space="preserve">   投标文件的组成及提交须知</w:t>
      </w:r>
      <w:r>
        <w:rPr>
          <w:b/>
          <w:color w:val="000000"/>
          <w:sz w:val="36"/>
          <w:szCs w:val="36"/>
          <w:highlight w:val="none"/>
        </w:rPr>
      </w:r>
      <w:r/>
    </w:p>
    <w:tbl>
      <w:tblPr>
        <w:tblW w:w="101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2"/>
        <w:gridCol w:w="2617"/>
        <w:gridCol w:w="6320"/>
      </w:tblGrid>
      <w:tr>
        <w:trPr>
          <w:trHeight w:val="432"/>
        </w:trPr>
        <w:tc>
          <w:tcPr>
            <w:tcW w:w="1202" w:type="dxa"/>
            <w:vAlign w:val="center"/>
            <w:textDirection w:val="lrTb"/>
            <w:noWrap w:val="false"/>
          </w:tcPr>
          <w:p>
            <w:pPr>
              <w:pStyle w:val="1023"/>
              <w:jc w:val="center"/>
              <w:rPr>
                <w:rFonts w:ascii="宋体" w:hAnsi="宋体" w:cs="宋体"/>
                <w:b/>
                <w:color w:val="000000"/>
                <w:szCs w:val="21"/>
                <w:highlight w:val="none"/>
              </w:rPr>
            </w:pPr>
            <w:r/>
            <w:bookmarkStart w:id="289" w:name="_Hlk152937762"/>
            <w:r>
              <w:rPr>
                <w:rFonts w:hint="eastAsia" w:ascii="宋体" w:hAnsi="宋体" w:cs="宋体"/>
                <w:b/>
                <w:color w:val="000000"/>
                <w:szCs w:val="21"/>
                <w:highlight w:val="none"/>
                <w:lang w:bidi="ar"/>
              </w:rPr>
              <w:t xml:space="preserve">名称</w:t>
            </w:r>
            <w:r>
              <w:rPr>
                <w:rFonts w:ascii="宋体" w:hAnsi="宋体" w:cs="宋体"/>
                <w:b/>
                <w:color w:val="000000"/>
                <w:szCs w:val="21"/>
                <w:highlight w:val="none"/>
              </w:rPr>
            </w:r>
            <w:r/>
          </w:p>
        </w:tc>
        <w:tc>
          <w:tcPr>
            <w:tcW w:w="2617" w:type="dxa"/>
            <w:vAlign w:val="center"/>
            <w:textDirection w:val="lrTb"/>
            <w:noWrap w:val="false"/>
          </w:tcPr>
          <w:p>
            <w:pPr>
              <w:pStyle w:val="1023"/>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320" w:type="dxa"/>
            <w:vAlign w:val="center"/>
            <w:textDirection w:val="lrTb"/>
            <w:noWrap w:val="false"/>
          </w:tcPr>
          <w:p>
            <w:pPr>
              <w:pStyle w:val="1023"/>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303"/>
        </w:trPr>
        <w:tc>
          <w:tcPr>
            <w:tcW w:w="1202" w:type="dxa"/>
            <w:vAlign w:val="center"/>
            <w:vMerge w:val="restart"/>
            <w:textDirection w:val="lrTb"/>
            <w:noWrap w:val="false"/>
          </w:tcPr>
          <w:p>
            <w:pPr>
              <w:pStyle w:val="1023"/>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投标文件组 成</w:t>
            </w:r>
            <w:r>
              <w:rPr>
                <w:rFonts w:ascii="宋体" w:hAnsi="宋体" w:cs="宋体"/>
                <w:color w:val="000000"/>
                <w:szCs w:val="21"/>
                <w:highlight w:val="none"/>
              </w:rPr>
            </w:r>
            <w:r/>
          </w:p>
        </w:tc>
        <w:tc>
          <w:tcPr>
            <w:tcW w:w="2617" w:type="dxa"/>
            <w:vAlign w:val="center"/>
            <w:vMerge w:val="restart"/>
            <w:textDirection w:val="lrTb"/>
            <w:noWrap w:val="false"/>
          </w:tcPr>
          <w:p>
            <w:pPr>
              <w:pStyle w:val="102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投标文件封面</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*开标一览表</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center"/>
            <w:vMerge w:val="restart"/>
            <w:textDirection w:val="lrTb"/>
            <w:noWrap w:val="false"/>
          </w:tcPr>
          <w:p>
            <w:pPr>
              <w:pStyle w:val="102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rPr>
                <w:rFonts w:ascii="宋体" w:hAnsi="宋体" w:cs="宋体"/>
                <w:b/>
                <w:bCs/>
                <w:color w:val="000000"/>
                <w:szCs w:val="21"/>
                <w:highlight w:val="none"/>
              </w:rPr>
            </w:r>
            <w:r/>
          </w:p>
        </w:tc>
      </w:tr>
      <w:tr>
        <w:trPr>
          <w:trHeight w:val="58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317"/>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30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rHeight w:val="869"/>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rPr>
                <w:rFonts w:hint="eastAsia"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center"/>
            <w:vMerge w:val="restart"/>
            <w:textDirection w:val="lrTb"/>
            <w:noWrap w:val="false"/>
          </w:tcPr>
          <w:p>
            <w:pPr>
              <w:pStyle w:val="1023"/>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rHeight w:val="311"/>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*投标（响应）函</w:t>
            </w:r>
            <w:r>
              <w:rPr>
                <w:rFonts w:ascii="宋体" w:hAnsi="宋体" w:cs="宋体"/>
                <w:color w:val="000000"/>
                <w:szCs w:val="21"/>
                <w:highlight w:val="none"/>
              </w:rPr>
            </w:r>
            <w:r/>
          </w:p>
        </w:tc>
      </w:tr>
      <w:tr>
        <w:trPr>
          <w:trHeight w:val="303"/>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center"/>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vMerge w:val="continue"/>
            <w:textDirection w:val="lrTb"/>
            <w:noWrap w:val="false"/>
          </w:tcPr>
          <w:p>
            <w:pPr>
              <w:pStyle w:val="1023"/>
              <w:rPr>
                <w:rFonts w:ascii="宋体" w:hAnsi="宋体" w:cs="宋体"/>
                <w:b/>
                <w:bCs/>
                <w:color w:val="000000"/>
                <w:szCs w:val="21"/>
                <w:highlight w:val="none"/>
              </w:rPr>
            </w:pPr>
            <w:r>
              <w:rPr>
                <w:rFonts w:ascii="宋体" w:hAnsi="宋体" w:cs="宋体"/>
                <w:b/>
                <w:bCs/>
                <w:color w:val="000000"/>
                <w:szCs w:val="21"/>
                <w:highlight w:val="none"/>
              </w:rPr>
            </w:r>
            <w:r/>
          </w:p>
        </w:tc>
        <w:tc>
          <w:tcPr>
            <w:tcW w:w="6320" w:type="dxa"/>
            <w:vAlign w:val="top"/>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*投标（响应）文件有效性(根据采购文件要求填写,如采购文件无相关要求,此条可不填写)</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textDirection w:val="lrTb"/>
            <w:noWrap w:val="false"/>
          </w:tcPr>
          <w:p>
            <w:pPr>
              <w:pStyle w:val="1023"/>
              <w:ind w:firstLine="422"/>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rPr>
                <w:rFonts w:ascii="宋体" w:hAnsi="宋体" w:cs="宋体"/>
                <w:b/>
                <w:bCs/>
                <w:color w:val="000000"/>
                <w:szCs w:val="21"/>
                <w:highlight w:val="none"/>
              </w:rPr>
            </w:r>
            <w:r/>
          </w:p>
        </w:tc>
        <w:tc>
          <w:tcPr>
            <w:tcW w:w="6320" w:type="dxa"/>
            <w:vAlign w:val="top"/>
            <w:textDirection w:val="lrTb"/>
            <w:noWrap w:val="false"/>
          </w:tcPr>
          <w:p>
            <w:pPr>
              <w:pStyle w:val="1023"/>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586"/>
        </w:trPr>
        <w:tc>
          <w:tcPr>
            <w:tcW w:w="1202" w:type="dxa"/>
            <w:vAlign w:val="center"/>
            <w:vMerge w:val="continue"/>
            <w:textDirection w:val="lrTb"/>
            <w:noWrap w:val="false"/>
          </w:tcPr>
          <w:p>
            <w:pPr>
              <w:pStyle w:val="1023"/>
              <w:rPr>
                <w:rFonts w:ascii="宋体" w:hAnsi="宋体" w:cs="宋体"/>
                <w:color w:val="000000"/>
                <w:szCs w:val="21"/>
                <w:highlight w:val="none"/>
              </w:rPr>
            </w:pPr>
            <w:r>
              <w:rPr>
                <w:rFonts w:ascii="宋体" w:hAnsi="宋体" w:cs="宋体"/>
                <w:color w:val="000000"/>
                <w:szCs w:val="21"/>
                <w:highlight w:val="none"/>
              </w:rPr>
            </w:r>
            <w:r/>
          </w:p>
        </w:tc>
        <w:tc>
          <w:tcPr>
            <w:tcW w:w="2617" w:type="dxa"/>
            <w:vAlign w:val="top"/>
            <w:textDirection w:val="lrTb"/>
            <w:noWrap w:val="false"/>
          </w:tcPr>
          <w:p>
            <w:pPr>
              <w:pStyle w:val="1023"/>
              <w:ind w:firstLine="211"/>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320" w:type="dxa"/>
            <w:vAlign w:val="top"/>
            <w:textDirection w:val="lrTb"/>
            <w:noWrap w:val="false"/>
          </w:tcPr>
          <w:p>
            <w:pPr>
              <w:pStyle w:val="1023"/>
              <w:rPr>
                <w:rFonts w:hint="eastAsia" w:ascii="宋体" w:hAnsi="宋体" w:cs="宋体"/>
                <w:color w:val="000000"/>
                <w:szCs w:val="21"/>
                <w:highlight w:val="none"/>
              </w:rPr>
            </w:pPr>
            <w:r>
              <w:rPr>
                <w:rFonts w:hint="eastAsia" w:ascii="宋体" w:hAnsi="宋体" w:cs="宋体"/>
                <w:color w:val="000000"/>
                <w:szCs w:val="21"/>
                <w:highlight w:val="none"/>
              </w:rPr>
              <w:t xml:space="preserve">企业报价折扣证明（</w:t>
            </w: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4531"/>
        </w:trPr>
        <w:tc>
          <w:tcPr>
            <w:tcW w:w="1202" w:type="dxa"/>
            <w:vAlign w:val="center"/>
            <w:textDirection w:val="lrTb"/>
            <w:noWrap w:val="false"/>
          </w:tcPr>
          <w:p>
            <w:pPr>
              <w:pStyle w:val="1023"/>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1023"/>
              <w:rPr>
                <w:rFonts w:ascii="宋体" w:hAnsi="宋体" w:cs="宋体"/>
                <w:color w:val="000000"/>
                <w:szCs w:val="21"/>
                <w:highlight w:val="none"/>
              </w:rPr>
            </w:pPr>
            <w:r>
              <w:rPr>
                <w:rFonts w:ascii="宋体" w:hAnsi="宋体" w:cs="宋体"/>
                <w:color w:val="000000"/>
                <w:szCs w:val="21"/>
                <w:highlight w:val="none"/>
              </w:rPr>
            </w:r>
            <w:r/>
          </w:p>
        </w:tc>
        <w:tc>
          <w:tcPr>
            <w:gridSpan w:val="2"/>
            <w:tcW w:w="8937" w:type="dxa"/>
            <w:vAlign w:val="top"/>
            <w:textDirection w:val="lrTb"/>
            <w:noWrap w:val="false"/>
          </w:tcPr>
          <w:p>
            <w:pPr>
              <w:pStyle w:val="1023"/>
              <w:jc w:val="left"/>
              <w:keepNext/>
              <w:spacing w:line="480" w:lineRule="exact"/>
              <w:rPr>
                <w:rFonts w:ascii="宋体" w:hAnsi="宋体"/>
                <w:b/>
                <w:bCs/>
                <w:color w:val="000000"/>
                <w:szCs w:val="21"/>
                <w:highlight w:val="none"/>
                <w:u w:val="single"/>
              </w:rPr>
              <w:outlineLvl w:val="0"/>
            </w:pPr>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1.本部分内容仅列明格式材料要求，不代表所有列出格式的材料必须全部提交，具体提交以采购文件规定的资格条件、评分标准要求及采购文件给定格式等内容为准。</w:t>
            </w:r>
            <w:r>
              <w:rPr>
                <w:rFonts w:ascii="宋体" w:hAnsi="宋体"/>
                <w:b/>
                <w:bCs/>
                <w:color w:val="000000"/>
                <w:szCs w:val="21"/>
                <w:highlight w:val="none"/>
                <w:u w:val="single"/>
              </w:rPr>
            </w:r>
            <w:r/>
          </w:p>
          <w:p>
            <w:pPr>
              <w:pStyle w:val="102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r>
              <w:rPr>
                <w:rFonts w:ascii="宋体" w:hAnsi="宋体" w:cs="宋体"/>
                <w:b/>
                <w:bCs/>
                <w:color w:val="000000"/>
                <w:szCs w:val="21"/>
                <w:highlight w:val="none"/>
                <w:u w:val="single"/>
                <w:lang w:bidi="ar"/>
              </w:rPr>
            </w:r>
            <w:r/>
          </w:p>
          <w:p>
            <w:pPr>
              <w:pStyle w:val="102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3.投标人应严格按照以上顺序及要求对应上传投标文件，混乱的编排、上传、文件资料不清晰可辨导致投标文件被误读或查找不到相应内容，将导致资格审查不通过、评分项不得分、无效响应等严重后果。</w:t>
            </w:r>
            <w:r>
              <w:rPr>
                <w:rFonts w:ascii="宋体" w:hAnsi="宋体" w:cs="宋体"/>
                <w:b/>
                <w:bCs/>
                <w:color w:val="000000"/>
                <w:szCs w:val="21"/>
                <w:highlight w:val="none"/>
                <w:u w:val="single"/>
                <w:lang w:bidi="ar"/>
              </w:rPr>
            </w:r>
            <w:r/>
          </w:p>
          <w:p>
            <w:pPr>
              <w:pStyle w:val="1023"/>
              <w:jc w:val="left"/>
              <w:keepNext/>
              <w:spacing w:line="480" w:lineRule="exact"/>
              <w:rPr>
                <w:rFonts w:ascii="宋体" w:hAnsi="宋体" w:cs="宋体"/>
                <w:b/>
                <w:bCs/>
                <w:color w:val="000000"/>
                <w:szCs w:val="21"/>
                <w:highlight w:val="none"/>
                <w:u w:val="single"/>
                <w:lang w:bidi="ar"/>
              </w:rPr>
              <w:outlineLvl w:val="0"/>
            </w:pPr>
            <w:r>
              <w:rPr>
                <w:rFonts w:hint="eastAsia" w:ascii="宋体" w:hAnsi="宋体" w:cs="宋体"/>
                <w:b/>
                <w:bCs/>
                <w:color w:val="000000"/>
                <w:szCs w:val="21"/>
                <w:highlight w:val="none"/>
                <w:u w:val="single"/>
                <w:lang w:bidi="ar"/>
              </w:rPr>
              <w:t xml:space="preserve">4.投标文件应按照采购文件要求的格式填写，无相应内容填写可填写“无”等明确的回答。</w:t>
            </w:r>
            <w:r>
              <w:rPr>
                <w:rFonts w:ascii="宋体" w:hAnsi="宋体" w:cs="宋体"/>
                <w:b/>
                <w:bCs/>
                <w:color w:val="000000"/>
                <w:szCs w:val="21"/>
                <w:highlight w:val="none"/>
                <w:u w:val="single"/>
                <w:lang w:bidi="ar"/>
              </w:rPr>
            </w:r>
            <w:r/>
          </w:p>
          <w:p>
            <w:pPr>
              <w:pStyle w:val="1023"/>
              <w:jc w:val="left"/>
              <w:keepNext/>
              <w:spacing w:line="480" w:lineRule="exact"/>
              <w:rPr>
                <w:rFonts w:ascii="宋体" w:hAnsi="宋体" w:cs="宋体"/>
                <w:b/>
                <w:color w:val="000000"/>
                <w:szCs w:val="21"/>
                <w:highlight w:val="none"/>
              </w:rPr>
              <w:outlineLvl w:val="0"/>
            </w:pPr>
            <w:r>
              <w:rPr>
                <w:rFonts w:hint="eastAsia" w:ascii="宋体" w:hAnsi="宋体" w:cs="宋体"/>
                <w:b/>
                <w:bCs/>
                <w:color w:val="000000"/>
                <w:szCs w:val="21"/>
                <w:highlight w:val="none"/>
                <w:u w:val="single"/>
                <w:lang w:bidi="ar"/>
              </w:rPr>
              <w:t xml:space="preserve">5.投标文件所附格式中要求填写的全部信息都必须正面回答并保证是真实准确的。</w:t>
            </w:r>
            <w:r>
              <w:rPr>
                <w:rFonts w:ascii="宋体" w:hAnsi="宋体" w:cs="宋体"/>
                <w:b/>
                <w:color w:val="000000"/>
                <w:szCs w:val="21"/>
                <w:highlight w:val="none"/>
              </w:rPr>
            </w:r>
            <w:r/>
          </w:p>
        </w:tc>
      </w:tr>
    </w:tbl>
    <w:p>
      <w:pPr>
        <w:pStyle w:val="1023"/>
        <w:spacing w:line="360" w:lineRule="auto"/>
        <w:rPr>
          <w:rFonts w:hint="eastAsia"/>
          <w:b/>
          <w:color w:val="000000"/>
          <w:sz w:val="36"/>
          <w:szCs w:val="36"/>
          <w:highlight w:val="none"/>
        </w:rPr>
        <w:outlineLvl w:val="0"/>
      </w:pPr>
      <w:r/>
      <w:bookmarkEnd w:id="289"/>
      <w:r>
        <w:rPr>
          <w:rFonts w:hint="eastAsia"/>
          <w:b/>
          <w:color w:val="000000"/>
          <w:sz w:val="36"/>
          <w:szCs w:val="36"/>
          <w:highlight w:val="none"/>
        </w:rPr>
      </w:r>
      <w:r/>
    </w:p>
    <w:p>
      <w:pPr>
        <w:pStyle w:val="1023"/>
        <w:jc w:val="center"/>
        <w:spacing w:line="360" w:lineRule="auto"/>
        <w:rPr>
          <w:b/>
          <w:color w:val="000000"/>
          <w:sz w:val="24"/>
          <w:highlight w:val="none"/>
        </w:rPr>
        <w:outlineLvl w:val="0"/>
      </w:pPr>
      <w:r>
        <w:rPr>
          <w:b/>
          <w:color w:val="000000"/>
          <w:sz w:val="36"/>
          <w:szCs w:val="36"/>
          <w:highlight w:val="none"/>
        </w:rPr>
        <w:t xml:space="preserve">第</w:t>
      </w:r>
      <w:r>
        <w:rPr>
          <w:rFonts w:hint="eastAsia"/>
          <w:b/>
          <w:color w:val="000000"/>
          <w:sz w:val="36"/>
          <w:szCs w:val="36"/>
          <w:highlight w:val="none"/>
        </w:rPr>
        <w:t xml:space="preserve">八</w:t>
      </w:r>
      <w:r>
        <w:rPr>
          <w:b/>
          <w:color w:val="000000"/>
          <w:sz w:val="36"/>
          <w:szCs w:val="36"/>
          <w:highlight w:val="none"/>
        </w:rPr>
        <w:t xml:space="preserve">章   投标文件格式</w:t>
      </w:r>
      <w:bookmarkEnd w:id="288"/>
      <w:r>
        <w:rPr>
          <w:b/>
          <w:color w:val="000000"/>
          <w:sz w:val="24"/>
          <w:highlight w:val="none"/>
        </w:rPr>
      </w:r>
      <w:r/>
    </w:p>
    <w:p>
      <w:pPr>
        <w:pStyle w:val="1023"/>
        <w:ind w:left="142"/>
        <w:spacing w:line="360" w:lineRule="auto"/>
        <w:tabs>
          <w:tab w:val="left" w:pos="900" w:leader="none"/>
          <w:tab w:val="left" w:pos="1980" w:leader="none"/>
        </w:tabs>
        <w:rPr>
          <w:color w:val="000000"/>
          <w:sz w:val="24"/>
          <w:highlight w:val="none"/>
        </w:rPr>
      </w:pPr>
      <w:r>
        <w:rPr>
          <w:b/>
          <w:color w:val="000000"/>
          <w:sz w:val="24"/>
          <w:highlight w:val="none"/>
        </w:rPr>
        <w:t xml:space="preserve">投标人编制文件须知</w:t>
      </w:r>
      <w:r>
        <w:rPr>
          <w:color w:val="000000"/>
          <w:sz w:val="24"/>
          <w:highlight w:val="none"/>
        </w:rPr>
      </w:r>
      <w:r/>
    </w:p>
    <w:p>
      <w:pPr>
        <w:pStyle w:val="1023"/>
        <w:ind w:left="142"/>
        <w:spacing w:line="360" w:lineRule="auto"/>
        <w:tabs>
          <w:tab w:val="left" w:pos="900" w:leader="none"/>
          <w:tab w:val="left" w:pos="1980" w:leader="none"/>
        </w:tabs>
        <w:rPr>
          <w:color w:val="000000"/>
          <w:sz w:val="24"/>
          <w:highlight w:val="none"/>
        </w:rPr>
      </w:pPr>
      <w:r>
        <w:rPr>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color w:val="000000"/>
          <w:sz w:val="24"/>
          <w:highlight w:val="none"/>
        </w:rPr>
      </w:r>
      <w:r/>
    </w:p>
    <w:p>
      <w:pPr>
        <w:pStyle w:val="1023"/>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对于招标文件中标记了“实质性格式”文件的，</w:t>
      </w:r>
      <w:r>
        <w:rPr>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color w:val="000000"/>
          <w:sz w:val="24"/>
          <w:highlight w:val="none"/>
        </w:rPr>
        <w:t xml:space="preserve">否则</w:t>
      </w:r>
      <w:r>
        <w:rPr>
          <w:b/>
          <w:color w:val="000000"/>
          <w:sz w:val="24"/>
          <w:highlight w:val="none"/>
        </w:rPr>
        <w:t xml:space="preserve">投标无效</w:t>
      </w:r>
      <w:r>
        <w:rPr>
          <w:color w:val="000000"/>
          <w:sz w:val="24"/>
          <w:highlight w:val="none"/>
        </w:rPr>
        <w:t xml:space="preserve">。未标记“实质性格式”的文件和招标文件未提供格式的内容，可由投标人自行编写。</w:t>
      </w:r>
      <w:r>
        <w:rPr>
          <w:color w:val="000000"/>
          <w:sz w:val="24"/>
          <w:highlight w:val="none"/>
        </w:rPr>
      </w:r>
      <w:r/>
    </w:p>
    <w:p>
      <w:pPr>
        <w:pStyle w:val="1023"/>
        <w:ind w:left="142"/>
        <w:spacing w:line="360" w:lineRule="auto"/>
        <w:tabs>
          <w:tab w:val="left" w:pos="900" w:leader="none"/>
          <w:tab w:val="left" w:pos="1980" w:leader="none"/>
        </w:tabs>
        <w:rPr>
          <w:rFonts w:hint="eastAsia"/>
          <w:color w:val="000000"/>
          <w:sz w:val="24"/>
          <w:highlight w:val="none"/>
        </w:rPr>
      </w:pPr>
      <w:r>
        <w:rPr>
          <w:color w:val="000000"/>
          <w:sz w:val="24"/>
          <w:highlight w:val="none"/>
        </w:rPr>
        <w:t xml:space="preserve">3、全部声明和问题的回答及所附材料必须是真实的、准确的和完整的。</w:t>
      </w:r>
      <w:r>
        <w:rPr>
          <w:rFonts w:hint="eastAsia"/>
          <w:color w:val="000000"/>
          <w:sz w:val="24"/>
          <w:highlight w:val="none"/>
        </w:rPr>
      </w:r>
      <w:r/>
    </w:p>
    <w:p>
      <w:pPr>
        <w:pStyle w:val="1023"/>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投标文件编制工具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r>
        <w:rPr>
          <w:color w:val="000000"/>
          <w:sz w:val="24"/>
          <w:highlight w:val="none"/>
        </w:rPr>
      </w:r>
      <w:r/>
    </w:p>
    <w:p>
      <w:pPr>
        <w:pStyle w:val="1023"/>
        <w:jc w:val="left"/>
        <w:widowControl/>
        <w:rPr>
          <w:color w:val="000000"/>
          <w:sz w:val="24"/>
          <w:highlight w:val="none"/>
        </w:rPr>
      </w:pPr>
      <w:r/>
      <w:bookmarkEnd w:id="93"/>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color w:val="000000"/>
          <w:sz w:val="24"/>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023"/>
        <w:ind w:firstLine="2529"/>
        <w:rPr>
          <w:rFonts w:hint="eastAsia"/>
          <w:b/>
          <w:color w:val="000000"/>
          <w:sz w:val="32"/>
          <w:szCs w:val="32"/>
          <w:highlight w:val="none"/>
        </w:rPr>
      </w:pPr>
      <w:r>
        <w:rPr>
          <w:b/>
          <w:color w:val="000000"/>
          <w:spacing w:val="20"/>
          <w:sz w:val="32"/>
          <w:szCs w:val="32"/>
          <w:highlight w:val="none"/>
        </w:rPr>
        <w:br w:type="page" w:clear="all"/>
      </w:r>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投标文件</w:t>
      </w:r>
      <w:r>
        <w:rPr>
          <w:b/>
          <w:color w:val="000000"/>
          <w:sz w:val="32"/>
          <w:szCs w:val="32"/>
          <w:highlight w:val="none"/>
        </w:rPr>
        <w:t xml:space="preserve">封面</w:t>
      </w:r>
      <w:r>
        <w:rPr>
          <w:rFonts w:hint="eastAsia"/>
          <w:b/>
          <w:color w:val="000000"/>
          <w:sz w:val="32"/>
          <w:szCs w:val="32"/>
          <w:highlight w:val="none"/>
        </w:rPr>
      </w:r>
      <w:r/>
    </w:p>
    <w:p>
      <w:pPr>
        <w:pStyle w:val="1023"/>
        <w:jc w:val="center"/>
        <w:rPr>
          <w:color w:val="000000"/>
          <w:szCs w:val="21"/>
          <w:highlight w:val="none"/>
        </w:rPr>
      </w:pPr>
      <w:r>
        <w:rPr>
          <w:color w:val="000000"/>
          <w:szCs w:val="21"/>
          <w:highlight w:val="none"/>
        </w:rPr>
      </w:r>
      <w:r/>
    </w:p>
    <w:p>
      <w:pPr>
        <w:pStyle w:val="1023"/>
        <w:jc w:val="center"/>
        <w:rPr>
          <w:b/>
          <w:color w:val="000000"/>
          <w:spacing w:val="60"/>
          <w:sz w:val="84"/>
          <w:szCs w:val="84"/>
          <w:highlight w:val="none"/>
        </w:rPr>
      </w:pPr>
      <w:r>
        <w:rPr>
          <w:b/>
          <w:color w:val="000000"/>
          <w:spacing w:val="60"/>
          <w:sz w:val="84"/>
          <w:szCs w:val="84"/>
          <w:highlight w:val="none"/>
        </w:rPr>
      </w:r>
      <w:r/>
    </w:p>
    <w:p>
      <w:pPr>
        <w:pStyle w:val="1023"/>
        <w:jc w:val="center"/>
        <w:rPr>
          <w:b/>
          <w:color w:val="000000"/>
          <w:spacing w:val="60"/>
          <w:sz w:val="84"/>
          <w:szCs w:val="84"/>
          <w:highlight w:val="none"/>
        </w:rPr>
      </w:pPr>
      <w:r>
        <w:rPr>
          <w:b/>
          <w:color w:val="000000"/>
          <w:spacing w:val="60"/>
          <w:sz w:val="84"/>
          <w:szCs w:val="84"/>
          <w:highlight w:val="none"/>
        </w:rPr>
        <w:t xml:space="preserve">投 标 文 件</w:t>
      </w:r>
      <w:r>
        <w:rPr>
          <w:b/>
          <w:color w:val="000000"/>
          <w:spacing w:val="60"/>
          <w:sz w:val="84"/>
          <w:szCs w:val="84"/>
          <w:highlight w:val="none"/>
        </w:rPr>
      </w:r>
      <w:r/>
    </w:p>
    <w:p>
      <w:pPr>
        <w:pStyle w:val="1023"/>
        <w:ind w:firstLine="963"/>
        <w:rPr>
          <w:rFonts w:hint="eastAsia"/>
          <w:b/>
          <w:color w:val="000000"/>
          <w:spacing w:val="60"/>
          <w:sz w:val="52"/>
          <w:szCs w:val="52"/>
          <w:highlight w:val="none"/>
        </w:rPr>
      </w:pPr>
      <w:r>
        <w:rPr>
          <w:rFonts w:hint="eastAsia"/>
          <w:b/>
          <w:color w:val="000000"/>
          <w:spacing w:val="60"/>
          <w:sz w:val="52"/>
          <w:szCs w:val="52"/>
          <w:highlight w:val="none"/>
        </w:rPr>
      </w:r>
      <w:r/>
    </w:p>
    <w:p>
      <w:pPr>
        <w:pStyle w:val="1023"/>
        <w:ind w:firstLine="963"/>
        <w:rPr>
          <w:b/>
          <w:color w:val="000000"/>
          <w:spacing w:val="60"/>
          <w:sz w:val="52"/>
          <w:szCs w:val="52"/>
          <w:highlight w:val="none"/>
        </w:rPr>
      </w:pPr>
      <w:r>
        <w:rPr>
          <w:b/>
          <w:color w:val="000000"/>
          <w:spacing w:val="60"/>
          <w:sz w:val="52"/>
          <w:szCs w:val="52"/>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103"/>
        <w:rPr>
          <w:color w:val="000000"/>
          <w:highlight w:val="none"/>
        </w:rPr>
      </w:pPr>
      <w:r>
        <w:rPr>
          <w:color w:val="000000"/>
          <w:highlight w:val="none"/>
        </w:rPr>
      </w:r>
      <w:r/>
    </w:p>
    <w:p>
      <w:pPr>
        <w:pStyle w:val="1023"/>
        <w:ind w:firstLine="542"/>
        <w:rPr>
          <w:b/>
          <w:color w:val="000000"/>
          <w:spacing w:val="20"/>
          <w:sz w:val="32"/>
          <w:szCs w:val="32"/>
          <w:highlight w:val="none"/>
        </w:rPr>
      </w:pPr>
      <w:r>
        <w:rPr>
          <w:b/>
          <w:color w:val="000000"/>
          <w:spacing w:val="20"/>
          <w:sz w:val="32"/>
          <w:szCs w:val="32"/>
          <w:highlight w:val="none"/>
        </w:rPr>
      </w:r>
      <w:r/>
    </w:p>
    <w:p>
      <w:pPr>
        <w:pStyle w:val="1023"/>
        <w:ind w:firstLine="542"/>
        <w:rPr>
          <w:b/>
          <w:color w:val="000000"/>
          <w:spacing w:val="20"/>
          <w:sz w:val="32"/>
          <w:szCs w:val="32"/>
          <w:highlight w:val="none"/>
        </w:rPr>
      </w:pPr>
      <w:r>
        <w:rPr>
          <w:b/>
          <w:color w:val="000000"/>
          <w:spacing w:val="20"/>
          <w:sz w:val="32"/>
          <w:szCs w:val="32"/>
          <w:highlight w:val="none"/>
        </w:rPr>
      </w:r>
      <w:r/>
    </w:p>
    <w:p>
      <w:pPr>
        <w:pStyle w:val="1023"/>
        <w:ind w:firstLine="1446"/>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3"/>
        <w:ind w:firstLine="1446"/>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23"/>
        <w:rPr>
          <w:rFonts w:ascii="宋体" w:hAnsi="宋体"/>
          <w:b/>
          <w:color w:val="000000"/>
          <w:sz w:val="36"/>
          <w:highlight w:val="none"/>
          <w:u w:val="singl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投标人名称 ：</w:t>
      </w:r>
      <w:r>
        <w:rPr>
          <w:rFonts w:hint="eastAsia" w:ascii="宋体" w:hAnsi="宋体"/>
          <w:b/>
          <w:color w:val="000000"/>
          <w:sz w:val="36"/>
          <w:szCs w:val="21"/>
          <w:highlight w:val="none"/>
          <w:u w:val="single"/>
        </w:rPr>
        <w:t xml:space="preserve">（加盖CA电子公章）</w:t>
      </w:r>
      <w:r>
        <w:rPr>
          <w:rFonts w:ascii="宋体" w:hAnsi="宋体"/>
          <w:b/>
          <w:color w:val="000000"/>
          <w:sz w:val="36"/>
          <w:highlight w:val="none"/>
          <w:u w:val="single"/>
        </w:rPr>
      </w:r>
      <w:r/>
    </w:p>
    <w:p>
      <w:pPr>
        <w:pStyle w:val="1023"/>
        <w:rPr>
          <w:rFonts w:ascii="宋体" w:hAnsi="宋体"/>
          <w:b/>
          <w:color w:val="000000"/>
          <w:sz w:val="36"/>
          <w:highlight w:val="none"/>
        </w:rPr>
      </w:pPr>
      <w:r>
        <w:rPr>
          <w:rFonts w:hint="eastAsia" w:ascii="宋体" w:hAnsi="宋体"/>
          <w:b/>
          <w:color w:val="000000"/>
          <w:sz w:val="36"/>
          <w:highlight w:val="none"/>
        </w:rPr>
        <w:t xml:space="preserve">      </w:t>
      </w:r>
      <w:r>
        <w:rPr>
          <w:rFonts w:ascii="宋体" w:hAnsi="宋体"/>
          <w:b/>
          <w:color w:val="000000"/>
          <w:sz w:val="36"/>
          <w:highlight w:val="none"/>
        </w:rPr>
        <w:t xml:space="preserve">  </w:t>
      </w:r>
      <w:r>
        <w:rPr>
          <w:rFonts w:hint="eastAsia" w:ascii="宋体" w:hAnsi="宋体"/>
          <w:b/>
          <w:color w:val="000000"/>
          <w:sz w:val="36"/>
          <w:highlight w:val="none"/>
        </w:rPr>
        <w:t xml:space="preserve">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23"/>
        <w:jc w:val="center"/>
        <w:rPr>
          <w:b/>
          <w:color w:val="000000"/>
          <w:sz w:val="32"/>
          <w:szCs w:val="32"/>
          <w:highlight w:val="none"/>
        </w:rPr>
      </w:pPr>
      <w:r>
        <w:rPr>
          <w:b/>
          <w:color w:val="000000"/>
          <w:sz w:val="32"/>
          <w:szCs w:val="32"/>
          <w:highlight w:val="none"/>
        </w:rPr>
      </w:r>
      <w:r/>
    </w:p>
    <w:p>
      <w:pPr>
        <w:pStyle w:val="1023"/>
        <w:ind w:firstLine="1806"/>
        <w:rPr>
          <w:rFonts w:hint="eastAsia"/>
          <w:b/>
          <w:color w:val="000000"/>
          <w:spacing w:val="20"/>
          <w:sz w:val="32"/>
          <w:szCs w:val="32"/>
          <w:highlight w:val="none"/>
        </w:rPr>
      </w:pPr>
      <w:r>
        <w:rPr>
          <w:b/>
          <w:color w:val="000000"/>
          <w:spacing w:val="20"/>
          <w:sz w:val="32"/>
          <w:szCs w:val="32"/>
          <w:highlight w:val="none"/>
        </w:rPr>
        <w:br w:type="page" w:clear="all"/>
      </w:r>
      <w:r>
        <w:rPr>
          <w:rFonts w:hint="eastAsia"/>
          <w:b/>
          <w:color w:val="000000"/>
          <w:spacing w:val="20"/>
          <w:sz w:val="32"/>
          <w:szCs w:val="32"/>
          <w:highlight w:val="none"/>
        </w:rPr>
        <w:t xml:space="preserve">二、开标</w:t>
      </w:r>
      <w:r>
        <w:rPr>
          <w:b/>
          <w:color w:val="000000"/>
          <w:spacing w:val="20"/>
          <w:sz w:val="32"/>
          <w:szCs w:val="32"/>
          <w:highlight w:val="none"/>
        </w:rPr>
        <w:t xml:space="preserve">一览表（实质性格式）</w:t>
      </w:r>
      <w:r>
        <w:rPr>
          <w:rFonts w:hint="eastAsia"/>
          <w:b/>
          <w:color w:val="000000"/>
          <w:spacing w:val="20"/>
          <w:sz w:val="32"/>
          <w:szCs w:val="32"/>
          <w:highlight w:val="none"/>
        </w:rPr>
      </w:r>
      <w:r/>
    </w:p>
    <w:p>
      <w:pPr>
        <w:pStyle w:val="1054"/>
        <w:ind w:firstLine="482"/>
        <w:spacing w:line="360" w:lineRule="auto"/>
        <w:tabs>
          <w:tab w:val="left" w:pos="567" w:leader="none"/>
        </w:tabs>
        <w:rPr>
          <w:b/>
          <w:color w:val="000000"/>
          <w:highlight w:val="none"/>
        </w:rPr>
      </w:pPr>
      <w:r>
        <w:rPr>
          <w:rFonts w:hint="eastAsia"/>
          <w:b/>
          <w:color w:val="000000"/>
          <w:highlight w:val="none"/>
        </w:rPr>
        <w:t xml:space="preserve">（一）投标人在提交投标文件时，应按照投标工具（苏采云客户端）的提示流程编制提交开标一览表，开标一览表格式以投标工具中的为准。</w:t>
      </w:r>
      <w:r>
        <w:rPr>
          <w:b/>
          <w:color w:val="000000"/>
          <w:highlight w:val="none"/>
        </w:rPr>
      </w:r>
      <w:r/>
    </w:p>
    <w:p>
      <w:pPr>
        <w:pStyle w:val="1054"/>
        <w:ind w:firstLine="602"/>
        <w:spacing w:line="360" w:lineRule="auto"/>
        <w:tabs>
          <w:tab w:val="left" w:pos="567" w:leader="none"/>
        </w:tabs>
        <w:rPr>
          <w:rFonts w:hint="eastAsia"/>
          <w:b/>
          <w:color w:val="000000"/>
          <w:sz w:val="30"/>
          <w:szCs w:val="30"/>
          <w:highlight w:val="none"/>
        </w:rPr>
      </w:pPr>
      <w:r>
        <w:rPr>
          <w:rFonts w:hint="eastAsia"/>
          <w:b/>
          <w:color w:val="000000"/>
          <w:sz w:val="30"/>
          <w:szCs w:val="30"/>
          <w:highlight w:val="none"/>
        </w:rPr>
      </w:r>
      <w:r/>
    </w:p>
    <w:p>
      <w:pPr>
        <w:pStyle w:val="1054"/>
        <w:ind w:firstLine="602"/>
        <w:spacing w:line="360" w:lineRule="auto"/>
        <w:tabs>
          <w:tab w:val="left" w:pos="567" w:leader="none"/>
        </w:tabs>
        <w:rPr>
          <w:rFonts w:hint="eastAsia"/>
          <w:b/>
          <w:color w:val="000000"/>
          <w:spacing w:val="20"/>
          <w:sz w:val="32"/>
          <w:szCs w:val="32"/>
          <w:highlight w:val="none"/>
        </w:rPr>
      </w:pPr>
      <w:r>
        <w:rPr>
          <w:rFonts w:hint="eastAsia"/>
          <w:b/>
          <w:color w:val="000000"/>
          <w:sz w:val="30"/>
          <w:szCs w:val="30"/>
          <w:highlight w:val="none"/>
          <w:lang w:eastAsia="zh-CN"/>
        </w:rPr>
        <w:t xml:space="preserve">（二）报价一览表报价为</w:t>
      </w:r>
      <w:r>
        <w:rPr>
          <w:rFonts w:hint="eastAsia"/>
          <w:b/>
          <w:color w:val="000000"/>
          <w:sz w:val="30"/>
          <w:szCs w:val="30"/>
          <w:highlight w:val="none"/>
        </w:rPr>
        <w:t xml:space="preserve">三年度总</w:t>
      </w:r>
      <w:r>
        <w:rPr>
          <w:rFonts w:hint="eastAsia"/>
          <w:b/>
          <w:color w:val="000000"/>
          <w:sz w:val="30"/>
          <w:szCs w:val="30"/>
          <w:highlight w:val="none"/>
          <w:lang w:eastAsia="zh-CN"/>
        </w:rPr>
        <w:t xml:space="preserve">报价。</w:t>
      </w:r>
      <w:r>
        <w:rPr>
          <w:rFonts w:hint="eastAsia"/>
          <w:b/>
          <w:color w:val="000000"/>
          <w:spacing w:val="20"/>
          <w:sz w:val="32"/>
          <w:szCs w:val="32"/>
          <w:highlight w:val="none"/>
        </w:rPr>
      </w:r>
      <w:r/>
    </w:p>
    <w:p>
      <w:pPr>
        <w:pStyle w:val="1023"/>
        <w:jc w:val="center"/>
        <w:spacing w:line="400" w:lineRule="exact"/>
        <w:rPr>
          <w:rFonts w:hint="eastAsia"/>
          <w:b/>
          <w:color w:val="000000"/>
          <w:spacing w:val="20"/>
          <w:sz w:val="32"/>
          <w:szCs w:val="32"/>
          <w:highlight w:val="none"/>
        </w:rPr>
      </w:pPr>
      <w:r>
        <w:rPr>
          <w:rFonts w:hint="eastAsia"/>
          <w:b/>
          <w:color w:val="000000"/>
          <w:spacing w:val="20"/>
          <w:sz w:val="32"/>
          <w:szCs w:val="32"/>
          <w:highlight w:val="none"/>
        </w:rPr>
        <w:br w:type="page" w:clear="all"/>
      </w:r>
      <w:r>
        <w:rPr>
          <w:rFonts w:hint="eastAsia"/>
          <w:b/>
          <w:color w:val="000000"/>
          <w:spacing w:val="20"/>
          <w:sz w:val="32"/>
          <w:szCs w:val="32"/>
          <w:highlight w:val="none"/>
        </w:rPr>
      </w:r>
      <w:r/>
    </w:p>
    <w:p>
      <w:pPr>
        <w:pStyle w:val="1023"/>
        <w:jc w:val="center"/>
        <w:spacing w:line="400" w:lineRule="exact"/>
        <w:rPr>
          <w:b/>
          <w:color w:val="000000"/>
          <w:spacing w:val="20"/>
          <w:sz w:val="32"/>
          <w:szCs w:val="32"/>
          <w:highlight w:val="none"/>
        </w:rPr>
      </w:pPr>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r>
        <w:rPr>
          <w:b/>
          <w:color w:val="000000"/>
          <w:spacing w:val="20"/>
          <w:sz w:val="32"/>
          <w:szCs w:val="32"/>
          <w:highlight w:val="none"/>
        </w:rPr>
      </w:r>
      <w:r/>
    </w:p>
    <w:p>
      <w:pPr>
        <w:pStyle w:val="1023"/>
        <w:jc w:val="center"/>
        <w:spacing w:line="400" w:lineRule="exact"/>
        <w:rPr>
          <w:b/>
          <w:color w:val="000000"/>
          <w:spacing w:val="20"/>
          <w:sz w:val="32"/>
          <w:szCs w:val="32"/>
          <w:highlight w:val="none"/>
        </w:rPr>
      </w:pPr>
      <w:r>
        <w:rPr>
          <w:b/>
          <w:color w:val="000000"/>
          <w:spacing w:val="20"/>
          <w:sz w:val="32"/>
          <w:szCs w:val="32"/>
          <w:highlight w:val="none"/>
        </w:rPr>
      </w:r>
      <w:r/>
    </w:p>
    <w:p>
      <w:pPr>
        <w:pStyle w:val="1023"/>
        <w:ind w:firstLine="720"/>
        <w:tabs>
          <w:tab w:val="left" w:pos="1800" w:leader="none"/>
          <w:tab w:val="left" w:pos="5580" w:leader="none"/>
        </w:tabs>
        <w:rPr>
          <w:rFonts w:eastAsia="宋体"/>
          <w:color w:val="000000"/>
          <w:sz w:val="24"/>
          <w:highlight w:val="none"/>
          <w:lang w:val="en-US" w:eastAsia="zh-CN"/>
        </w:rPr>
      </w:pPr>
      <w:r>
        <w:rPr>
          <w:color w:val="000000"/>
          <w:sz w:val="24"/>
          <w:highlight w:val="none"/>
        </w:rPr>
        <w:t xml:space="preserve">项目编号：</w:t>
      </w:r>
      <w:r>
        <w:rPr>
          <w:rFonts w:hint="eastAsia"/>
          <w:color w:val="000000"/>
          <w:sz w:val="24"/>
          <w:highlight w:val="none"/>
          <w:u w:val="single"/>
          <w:lang w:val="en-US" w:eastAsia="zh-CN"/>
        </w:rPr>
        <w:t xml:space="preserve">                                         </w:t>
      </w:r>
      <w:r>
        <w:rPr>
          <w:rFonts w:eastAsia="宋体"/>
          <w:color w:val="000000"/>
          <w:sz w:val="24"/>
          <w:highlight w:val="none"/>
          <w:lang w:val="en-US" w:eastAsia="zh-CN"/>
        </w:rPr>
      </w:r>
      <w:r/>
    </w:p>
    <w:p>
      <w:pPr>
        <w:pStyle w:val="1023"/>
        <w:ind w:firstLine="720"/>
        <w:tabs>
          <w:tab w:val="left" w:pos="1800" w:leader="none"/>
          <w:tab w:val="left" w:pos="5580" w:leader="none"/>
        </w:tabs>
        <w:rPr>
          <w:rFonts w:eastAsia="宋体"/>
          <w:color w:val="000000"/>
          <w:sz w:val="24"/>
          <w:highlight w:val="none"/>
          <w:lang w:val="en-US" w:eastAsia="zh-CN"/>
        </w:rPr>
      </w:pPr>
      <w:r>
        <w:rPr>
          <w:color w:val="000000"/>
          <w:sz w:val="24"/>
          <w:highlight w:val="none"/>
        </w:rPr>
        <w:t xml:space="preserve">项目名称：</w:t>
      </w:r>
      <w:r>
        <w:rPr>
          <w:rFonts w:hint="eastAsia" w:ascii="Times New Roman" w:hAnsi="Times New Roman" w:eastAsia="宋体" w:cs="Times New Roman"/>
          <w:color w:val="000000"/>
          <w:sz w:val="24"/>
          <w:highlight w:val="none"/>
          <w:u w:val="single"/>
          <w:lang w:val="en-US" w:eastAsia="zh-CN"/>
        </w:rPr>
        <w:t xml:space="preserve">2026-2028年度武进国家高新区市政维护项目   </w:t>
      </w:r>
      <w:r>
        <w:rPr>
          <w:rFonts w:eastAsia="宋体"/>
          <w:color w:val="000000"/>
          <w:sz w:val="24"/>
          <w:highlight w:val="none"/>
          <w:lang w:val="en-US" w:eastAsia="zh-CN"/>
        </w:rPr>
      </w:r>
      <w:r/>
    </w:p>
    <w:p>
      <w:pPr>
        <w:pStyle w:val="1023"/>
        <w:ind w:firstLine="720"/>
        <w:jc w:val="right"/>
        <w:tabs>
          <w:tab w:val="left" w:pos="1800" w:leader="none"/>
          <w:tab w:val="left" w:pos="5580" w:leader="none"/>
        </w:tabs>
        <w:rPr>
          <w:color w:val="000000"/>
          <w:sz w:val="24"/>
          <w:highlight w:val="none"/>
        </w:rPr>
      </w:pPr>
      <w:r>
        <w:rPr>
          <w:color w:val="000000"/>
          <w:sz w:val="24"/>
          <w:highlight w:val="none"/>
        </w:rPr>
        <w:t xml:space="preserve">报价单位：人民币元</w:t>
      </w:r>
      <w:r>
        <w:rPr>
          <w:color w:val="000000"/>
          <w:sz w:val="24"/>
          <w:highlight w:val="none"/>
        </w:rPr>
      </w:r>
      <w:r/>
    </w:p>
    <w:p>
      <w:pPr>
        <w:pStyle w:val="1023"/>
        <w:ind w:firstLine="720"/>
        <w:jc w:val="right"/>
        <w:tabs>
          <w:tab w:val="left" w:pos="1800" w:leader="none"/>
          <w:tab w:val="left" w:pos="5580" w:leader="none"/>
        </w:tabs>
        <w:rPr>
          <w:color w:val="000000"/>
          <w:sz w:val="24"/>
          <w:highlight w:val="none"/>
        </w:rPr>
      </w:pPr>
      <w:r>
        <w:rPr>
          <w:color w:val="000000"/>
          <w:sz w:val="24"/>
          <w:highlight w:val="none"/>
        </w:rPr>
      </w:r>
      <w:r/>
    </w:p>
    <w:p>
      <w:pPr>
        <w:pStyle w:val="1023"/>
        <w:ind w:firstLine="723"/>
        <w:jc w:val="left"/>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r>
      <w:r/>
    </w:p>
    <w:tbl>
      <w:tblPr>
        <w:tblW w:w="959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22"/>
        <w:gridCol w:w="1279"/>
        <w:gridCol w:w="3052"/>
        <w:gridCol w:w="584"/>
        <w:gridCol w:w="706"/>
        <w:gridCol w:w="1088"/>
        <w:gridCol w:w="876"/>
        <w:gridCol w:w="876"/>
        <w:gridCol w:w="615"/>
      </w:tblGrid>
      <w:tr>
        <w:trPr>
          <w:trHeight w:val="312"/>
        </w:trPr>
        <w:tc>
          <w:tcPr>
            <w:tcW w:w="522"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序号</w:t>
            </w:r>
            <w:r>
              <w:rPr>
                <w:rFonts w:hint="eastAsia" w:ascii="新宋体" w:hAnsi="新宋体" w:eastAsia="新宋体" w:cs="新宋体"/>
                <w:b/>
                <w:bCs/>
                <w:i w:val="0"/>
                <w:iCs w:val="0"/>
                <w:color w:val="000000"/>
                <w:sz w:val="18"/>
                <w:szCs w:val="18"/>
                <w:highlight w:val="none"/>
                <w:u w:val="none"/>
              </w:rPr>
            </w:r>
            <w:r/>
          </w:p>
        </w:tc>
        <w:tc>
          <w:tcPr>
            <w:tcW w:w="1279"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项目编码</w:t>
            </w:r>
            <w:r>
              <w:rPr>
                <w:rFonts w:hint="eastAsia" w:ascii="新宋体" w:hAnsi="新宋体" w:eastAsia="新宋体" w:cs="新宋体"/>
                <w:b/>
                <w:bCs/>
                <w:i w:val="0"/>
                <w:iCs w:val="0"/>
                <w:color w:val="000000"/>
                <w:sz w:val="18"/>
                <w:szCs w:val="18"/>
                <w:highlight w:val="none"/>
                <w:u w:val="none"/>
              </w:rPr>
            </w:r>
            <w:r/>
          </w:p>
        </w:tc>
        <w:tc>
          <w:tcPr>
            <w:tcW w:w="3052"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项目名称</w:t>
            </w:r>
            <w:r>
              <w:rPr>
                <w:rFonts w:hint="eastAsia" w:ascii="新宋体" w:hAnsi="新宋体" w:eastAsia="新宋体" w:cs="新宋体"/>
                <w:b/>
                <w:bCs/>
                <w:i w:val="0"/>
                <w:iCs w:val="0"/>
                <w:color w:val="000000"/>
                <w:sz w:val="18"/>
                <w:szCs w:val="18"/>
                <w:highlight w:val="none"/>
                <w:u w:val="none"/>
              </w:rPr>
            </w:r>
            <w:r/>
          </w:p>
        </w:tc>
        <w:tc>
          <w:tcPr>
            <w:tcW w:w="584"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计量单位</w:t>
            </w:r>
            <w:r>
              <w:rPr>
                <w:rFonts w:hint="eastAsia" w:ascii="新宋体" w:hAnsi="新宋体" w:eastAsia="新宋体" w:cs="新宋体"/>
                <w:b/>
                <w:bCs/>
                <w:i w:val="0"/>
                <w:iCs w:val="0"/>
                <w:color w:val="000000"/>
                <w:sz w:val="18"/>
                <w:szCs w:val="18"/>
                <w:highlight w:val="none"/>
                <w:u w:val="none"/>
              </w:rPr>
            </w:r>
            <w:r/>
          </w:p>
        </w:tc>
        <w:tc>
          <w:tcPr>
            <w:tcW w:w="706"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工程数量</w:t>
            </w:r>
            <w:r>
              <w:rPr>
                <w:rFonts w:hint="eastAsia" w:ascii="新宋体" w:hAnsi="新宋体" w:eastAsia="新宋体" w:cs="新宋体"/>
                <w:b/>
                <w:bCs/>
                <w:i w:val="0"/>
                <w:iCs w:val="0"/>
                <w:color w:val="000000"/>
                <w:sz w:val="18"/>
                <w:szCs w:val="18"/>
                <w:highlight w:val="none"/>
                <w:u w:val="none"/>
              </w:rPr>
            </w:r>
            <w:r/>
          </w:p>
        </w:tc>
        <w:tc>
          <w:tcPr>
            <w:tcW w:w="1088"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综合单价最高限价（元）</w:t>
            </w:r>
            <w:r>
              <w:rPr>
                <w:rFonts w:hint="eastAsia" w:ascii="新宋体" w:hAnsi="新宋体" w:eastAsia="新宋体" w:cs="新宋体"/>
                <w:b/>
                <w:bCs/>
                <w:i w:val="0"/>
                <w:iCs w:val="0"/>
                <w:color w:val="000000"/>
                <w:sz w:val="18"/>
                <w:szCs w:val="18"/>
                <w:highlight w:val="none"/>
                <w:u w:val="none"/>
              </w:rPr>
            </w:r>
            <w:r/>
          </w:p>
        </w:tc>
        <w:tc>
          <w:tcPr>
            <w:tcW w:w="876" w:type="dxa"/>
            <w:vAlign w:val="center"/>
            <w:vMerge w:val="restart"/>
            <w:textDirection w:val="lrTb"/>
            <w:noWrap w:val="false"/>
          </w:tcPr>
          <w:p>
            <w:pPr>
              <w:pStyle w:val="102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投标综合单价（元）</w:t>
            </w:r>
            <w:r>
              <w:rPr>
                <w:rFonts w:hint="eastAsia" w:ascii="宋体" w:hAnsi="宋体" w:eastAsia="宋体" w:cs="宋体"/>
                <w:b/>
                <w:bCs/>
                <w:i w:val="0"/>
                <w:iCs w:val="0"/>
                <w:color w:val="000000"/>
                <w:sz w:val="20"/>
                <w:szCs w:val="20"/>
                <w:highlight w:val="none"/>
                <w:u w:val="none"/>
              </w:rPr>
            </w:r>
            <w:r/>
          </w:p>
        </w:tc>
        <w:tc>
          <w:tcPr>
            <w:tcW w:w="876" w:type="dxa"/>
            <w:vAlign w:val="center"/>
            <w:vMerge w:val="restart"/>
            <w:textDirection w:val="lrTb"/>
            <w:noWrap w:val="false"/>
          </w:tcPr>
          <w:p>
            <w:pPr>
              <w:pStyle w:val="102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投标合价（元）</w:t>
            </w:r>
            <w:r>
              <w:rPr>
                <w:rFonts w:hint="eastAsia" w:ascii="宋体" w:hAnsi="宋体" w:eastAsia="宋体" w:cs="宋体"/>
                <w:b/>
                <w:bCs/>
                <w:i w:val="0"/>
                <w:iCs w:val="0"/>
                <w:color w:val="000000"/>
                <w:sz w:val="20"/>
                <w:szCs w:val="20"/>
                <w:highlight w:val="none"/>
                <w:u w:val="none"/>
              </w:rPr>
            </w:r>
            <w:r/>
          </w:p>
        </w:tc>
        <w:tc>
          <w:tcPr>
            <w:tcW w:w="615" w:type="dxa"/>
            <w:vAlign w:val="center"/>
            <w:vMerge w:val="restart"/>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备注</w:t>
            </w:r>
            <w:r>
              <w:rPr>
                <w:rFonts w:hint="eastAsia" w:ascii="新宋体" w:hAnsi="新宋体" w:eastAsia="新宋体" w:cs="新宋体"/>
                <w:b/>
                <w:bCs/>
                <w:i w:val="0"/>
                <w:iCs w:val="0"/>
                <w:color w:val="000000"/>
                <w:sz w:val="18"/>
                <w:szCs w:val="18"/>
                <w:highlight w:val="none"/>
                <w:u w:val="none"/>
              </w:rPr>
            </w:r>
            <w:r/>
          </w:p>
        </w:tc>
      </w:tr>
      <w:tr>
        <w:trPr>
          <w:trHeight w:val="220"/>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一</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拆除、土石方</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22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锯缝机锯缝【沥青砼路面锯缝；】</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1497</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锯缝机锯缝【砼路面锯缝；】</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357</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拆除路面【拆除沥青面层，厚10cm以内;】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拆除路面【拆除沥青面层，每增减1cm;】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拆除路面【拆除无筋混凝土路面层及水稳基层,厚15CM;】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32.68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拆除路面【拆除无筋混凝土路面层及水稳基层,每增减1CM;】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拆除基层【拆除二灰碎石厚20CM;】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706</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拆除基层【拆除二灰碎石;每增减1CM;】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3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拆除基层【拆除灰土基层厚35CM;】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47.12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拆除基层【拆除灰土基层;每增减1CM;】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拆除人行道铺装面层【拆除混凝土预制板人行道,场地清理,不含废料外运;】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拆除人行道【拆除混凝土预制板人行道及砂浆垫层;】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9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拆除人行道【拆除石质人行道板及水泥砂浆垫层，场地清理,不含废料外运;】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9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拆除侧石【单独拆除预制侧石 、场地清理,不含废料外运;】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2581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7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拆除平石【单独拆除预制平石 、场地清理,不含废料外运;】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224</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4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拆除侧石及垫层【单独拆除预制侧石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拆除平石及垫层【单独拆除预制砼平石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拆除石质侧石及垫层【单独拆除石质侧石 水泥砂浆垫层：砼基座翻挖拆除、清底、旧料整理成堆、场地清理、不含废料外运;】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8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拆除石质平石及垫层【单独拆除石质平石 水泥砂浆垫层：翻挖拆除、清底、旧料整理成堆、场地清理、不含废料外运;】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拆除路面【铣刨机铣刨沥青路面,厚度1-5CM;】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拆除混凝土结构【拆除有筋混凝土基础及墙体等,场地清理,不含废料外运;】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0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挖一般土方【反铲挖掘机1.0M3内(不装车)挖一、二类土;】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16.92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挖一般土方【反铲挖掘机1.0M3内(不装车)挖三类土;】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20.75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挖淤泥，外运【挖淤泥(淤质土,不含流质淤泥),装车外运3KM;】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40101003001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人工挖灯杆基坑土方【人工挖灯杆基坑土方,三类土,深度2米以内;】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挖沟槽土方【人工挖沟槽土方，挖土深度2M内,不外运;】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91.21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40201001019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挖沟槽土方【机械挖沟槽土方,反铲挖掘机1.0M3(不装车)挖三类土;】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沟槽填方【人工沟槽回填素土夯实;】</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56.98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沟槽回填土【机械沟槽回填素土夯实;】</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37.43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沟槽回填土【沟槽回填3%灰土夯实;】</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112.16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6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余方弃置【路面绿地拆除物、建筑垃圾、装车外运3KM;场地清理;单方任务外运100M3以内(含100M3),人工装车70%,机械装车30%;】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67.94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0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余方弃置【路面绿地拆除物、建筑垃圾、装车外运3KM;场地清理;单方任务外运100M3以外,人工装车30%,机械装车70%;】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1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余方弃置【余土外运（自然堆积方）、路面绿地建土方及生活垃圾清运,装车外运3KM;场地清理;单方任务外运100M3以内(含100M3),人工装车70%,机械装车30%;】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余方弃置【余土外运（自然堆积方）、路面绿地建土方及生活垃圾清运,装车外运3KM;场地清理;单方任务外运100M3以外,人工装车30%,机械装车70%;】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余方弃置【余土外运（自然堆积方）、路面绿地建土方及生活垃圾清运,每增加一公里(外运3KM外)】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二</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路基</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石灰稳定土【20CM含灰量6%灰土，灰土土方为利用土方;】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40201001029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石灰稳定土【6%每增减1cm，灰土土方为利用土方;】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石灰稳定土【20CM含灰量10%，灰土土方为利用土方;】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61.22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石灰稳定土【10%厚度每增减1CM，灰土土方为利用土方;】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40202001001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水泥稳定碎石【水泥稳定碎石厂拌人铺厚度15CM;】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99.81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水泥稳定碎石【水泥稳定碎石厂拌人铺厚度20CM;】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水泥稳定碎石【水泥稳定碎石厂拌人铺厚度每增减1CM;】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强夯土方【路床碾压;】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5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垫层【建筑垃圾铺设;单方任务外运100M3以内(含100M3);】</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107.59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1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垫层【建筑垃圾铺设;单方任务外运100M3以外;】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87.41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5CM碎石垫层【5CM瓜子片铺设碾压;】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10CM碎石垫层【10CM 2 4 6石子铺设碾压;】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40202001002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碎石基层 【厚度每增加1cm;】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三</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路面</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40201001039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水泥混凝土【C30砼水泥混凝土路面,厚度20CM;】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水泥混凝土【C30砼路面面层,每增减1CM;】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40203007001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路面刻痕</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10.93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40203005001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路面构造筋【钢筋除锈,安装;】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T</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7374.71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3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40203005002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路面石油沥青灌缝【清除缝隙垃圾杂物,开槽,灌缝,清理;】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5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40203005003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路面裂缝填沥青砂【清除缝隙垃圾杂物,开槽,灌缝,清理;】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4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40203005004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路面裂缝填密封胶【清除缝隙垃圾杂物,开槽,灌缝,清理;】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沥青混凝土【沥青喷洒机喷洒结合油喷油量喷油量1KG/M2;】</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稀浆封层【稀浆封层;】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喷洒乳化沥青【路面喷洒乳化沥青，喷洒油量1kg/m2 乳化沥青;】</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4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粗粒式沥青混凝土【粗粒式沥青混凝土路面 厚度5CM;】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1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粗粒式沥青混凝土【粗粒式沥青混凝土每增减1CM;】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中粒式沥青混凝土【中粒式沥青混凝土路面 厚度5CM;】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113.94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中粒式沥青混凝土【中粒式沥青混凝土路面 厚度每增减1CM;】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21.75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细粒式沥青混凝土3cm【细粒式AC-10（玄武岩）沥青混凝土路面：厚度3cm;】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95.87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0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40201001049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细粒式沥青混凝土【细粒式AC-10（玄武岩）沥青混凝土路面：厚度每增减0.5cm;】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4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细粒式沥青混凝土【细粒式（SMA）沥青混凝土路面：厚度3cm;】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6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细粒式沥青混凝土增0.5cm【细粒式（SMA）沥青混凝土路面：厚度每增减0.5cm;】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18.05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1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粗粒式沥青混凝土【修补(每处≤10m2)：粗粒式沥青混凝土路面 厚度5CM;】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123.79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粗粒式沥青混凝土【修补(每处≤10m2)：粗粒式沥青混凝土每增减1CM;】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6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中粒式沥青混凝土【修补(每处≤10m2)：中粒式沥青混凝土路面 厚度5CM;】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147.22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中粒式沥青混凝土【修补(每处≤10m2)：中粒式沥青混凝土路面 厚度每增减1CM;】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细粒式沥青混凝土3cm【修补(每处≤10m2)：细粒式AC-10（玄武岩）沥青混凝土路面：厚度3cm;】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108.47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细粒式沥青混凝土【修补(每处≤10m2)：细粒式AC-10（玄武岩）沥青混凝土路面：厚度每增减0.5cm;】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细粒式沥青混凝土【修补(每处≤10m2)：细粒式（SMA）沥青混凝土路面：厚度3cm;】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112.97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40201001059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细粒式沥青混凝土增0.5cm【修补(每处≤10m2)：细粒式（SMA）沥青混凝土路面：厚度每增减0.5cm;】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18.21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40202001003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玻纤格栅【铺设玻纤格栅;】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21.88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四</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雨污水管道</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检查井升降【(Φ700MM) 筒： 每增0.5M;】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1004.02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检查井升降【(Φ700MM) 筒： 每减0.5M;】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771.76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更换井盖框【更换重型球墨铸铁框盖;规格综合考虑;】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1441.58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更换井盖框【更换铸铁框钢纤维井盖;规格综合考虑;】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1111.05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更换井盖框【更换B级钢纤维复合框盖;规格综合考虑;】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795.37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雨水进水井【砖砌收水井升高50CM，内侧粉刷;】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447.58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雨水进水井【砖砌收水井降低50CM，内侧粉刷;】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更换进水井铸铁框盖【更换铸铁框盖;规格综合考虑;】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788.6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更换钢纤维复合框盖进水井【更换钢纤维复合框盖;规格综合考虑;】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487.48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砌筑井【砖砌检查井800*800*800mm,10cm碎石垫层+10cmC15垫层;内外粉刷;不含井盖;】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1428.61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40201001069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清理收水井【清理收水井:清理收水井杂物，含垃圾装车,外运;】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179.33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清理雨、污水检查井【人工清疏检查井（含安全设施）,垃圾物外运，投标者运距自定;】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清理雨、污水检查井【机械清疏检查井（含安全设施）,垃圾物外运，投标者运距自定;】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219.68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清理雨、污水检查井【潜水员水下作业清淤（含安全设施）,垃圾物外运，投标者运距自定;】</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392.59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更换D300砼管【100厚碎石垫层，120°管基座、铺设D300承插钢筋砼Ⅱ级管(不包括挖土，回填土）】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356.97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更换D400砼管【100厚碎石垫层，120°管基座、铺设D400承插钢筋砼Ⅱ级管(不包括挖土，回填土）】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565.29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更换D500砼管【100厚碎石垫层，120°管基座、铺设D500承插钢筋砼Ⅱ级管(不包括挖土，回填土）】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847.55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更换D600砼管【100厚碎石垫层，120°管基座、铺设D600承插钢筋砼Ⅱ级管(不包括挖土，回填土）】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1105.65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更换D800砼管【100厚碎石垫层，120°管基座、铺设D800承插钢筋砼Ⅱ级管(不包括挖土，回填土）】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2010.69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更换D1000砼管【100厚碎石垫层，120°管基座、铺设D1000承插钢筋砼Ⅱ级管(不包括挖土，回填土）】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2842.23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40201001079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更换D300砼管【铺设D300承插钢筋砼Ⅱ级管(不包括挖土，回填土）】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270.76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更换D400砼管【铺设D400承插钢筋砼Ⅱ级管(不包括挖土，回填土）】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433.07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更换D500砼管【铺设D500承插钢筋砼Ⅱ级管(不包括挖土，回填土）】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671.47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更换D600砼管【铺设D600承插钢筋砼Ⅱ级管(不包括挖土，回填土）】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864.85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更换D800砼管【铺设D800承插钢筋砼Ⅱ级管(不包括挖土，回填土）】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1676.67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更换D1000砼管【铺设D1000承插钢筋砼Ⅱ级管(不包括挖土，回填土）】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2339.23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砂包封【360°砂包封（见图集S01-2004/81）;】</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391.07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更换D300PVC-U实壁管【更换D300PVC-U实壁管（S2级）;】</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436.04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更换D400PVC-U实壁管【更换D400PVC-U实壁管（S2级）;】</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665.68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更换D500PVC-U实壁管【更换D500PVC-U实壁管（S2级）:】</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1071.74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40201001089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更换D600PVC-U实壁管【更换D600PVC-U实壁管（S2级）:】</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1658.74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铺设D300PE实壁管【铺设D300PE实壁管;100SDR 1.0Mpa;】</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563.44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铺设D400PE实壁管【铺设D400PE实壁管:100SDR 1.0Mpa;】</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918.1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铺设D500PE实壁管【铺设D500PE实壁管:100SDR 1.0Mpa;】</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1127.46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铺设D600PE实壁管【铺设D600PE实壁管:100SDR 1.0Mpa;】</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1339.7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塑料管【HDPE双壁波纹管,橡胶圈承插接口,DN225,环刚度≥8KN/m2,详见06MS201-2/30;】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77.62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塑料管【HDPE双壁波纹管,橡胶圈承插接口,DN300,环刚度≥8KN/m2,详见06MS201-2/30;】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141.65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40501004003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塑料管【HDPE双壁波纹管,橡胶圈承插接口,DN400,环刚度≥8KN/m2,详见06MS201-2/30;】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245.88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水平导向钻进【PE实壁管,牵引施工,DE110,PE100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223.39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水平导向钻进【PE实壁管,牵引施工,De160,PE100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365.08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水平导向钻进【PE实壁管,牵引施工,De200,PE100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482.22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水平导向钻进【PE实壁管,牵引施工,De250,PE100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592.39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水平导向钻进【PE实壁管,牵引施工,De300,PE100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844.08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水平导向钻进【PE实壁管,牵引施工,管外径De450,PE100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1438.28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40501008007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水平导向钻进【PE实壁管,牵引施工,管外径De560,PE100 SDR17,热熔粘接,,四周注浆处理,泥浆弃运,闭水试验;】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2086.72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1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40501006001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疏通管道【管径600以下管道疏通、人工清淤到装车处外运，运距投标单位自行考虑，含启闭井盖、疏通段落内排水等】</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34.24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1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40501006002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疏通管道【管径600以上管道疏通、人工清淤到装车处外运，运距投标单位自行考虑，含启闭井盖、疏通段落内排水等】</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42.44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41108002001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管道视频检测【新建管道CCTV视频检测、检测报告出具;】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21.67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41108002002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管道视频检测【老管道CCTV视频检测（抽水冲管道）、检测报告出具;】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五</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铺装</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铺设S型马路块【铺设S型马路块，含铺筑水泥砂浆；厚度综合考虑】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铺设原马路块【铺设原马路块，含铺筑水泥砂浆】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铺设苏普洛克砖【铺设苏普洛克砖200*100*60 C30，苏普洛克砖厚度不同调整主材价格，含铺筑水泥砂浆；】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138.05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1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铺设陶土砖【铺设陶土砖:"铺设陶土砖200*100*60 C30，陶土砖厚度不同调整主材价格，含铺筑水泥砂浆；】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138.05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正六边形彩色道板人行道料铺设【铺正六边形彩色道板；含铺筑水泥砂浆，厚度综合考虑】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40201001099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仿花岗岩条纹砖人行道块铺设【仿花岗岩条纹砖人行道块铺设；含铺筑水泥砂浆，厚度综合考虑】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花岗岩人行道板铺设【铺3cm花岗岩人行道板；含铺筑水泥砂浆】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花岗岩人行道板铺设【铺4cm花岗岩人行道板；含铺筑水泥砂浆】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327.72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修复人行道板【修复人行道道板砖(利用原道板砖)；含铺筑水泥砂浆】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69.73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人行道浇混凝土垫层【人行道细石砼垫层100mm C20；】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铺设预制砼侧石【铺设预制砼侧石C30（280*120）,挖槽,铺砼基础,砼侧石铺设、场地清理;】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118.76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铺设预制砼侧石【铺设预制砼侧石C30（280*150），挖槽,铺砼基础,砼侧石铺设、场地清理;】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119.18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铺设预制砼平石【铺设预制砼平石C30（240*100）,挖槽、铺砼基础，砼平石铺设，场地清理;】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96.25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铺设花岗岩侧石【铺设花岗岩侧石603#（280*120）,挖槽、铺砼基础、花岗岩侧石铺设、场地清理;】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208.61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铺设花岗岩侧石【铺设花岗岩侧石603#（280*150）,挖槽、铺砼基础、花岗岩侧石铺设、场地清理;】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04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铺设花岗岩平石【铺设花岗岩平石603#（240*100）,挖槽、铺砼基础、花岗岩平石铺设、场地清理;】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35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铺设花岗岩进水侧石【铺设603#花岗岩进水侧石（280*120）,挖槽、铺基础、进水侧石铺设、场地清理；材质规格不同，调整主材】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266.88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350"/>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铺设花岗岩进水侧石【铺设603#花岗岩进水侧石（280*150）,挖槽、铺基础、进水侧石铺设、场地清理；材质规格不同，调整主材】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294.32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安砌原侧石【恢复侧石:利用原侧石,浇砼基础；】</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51.1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修复平石【修复平石:利用原平石,浇砼基础；】</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44.04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六</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桥梁零星</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砼垫层【C20混凝土垫层；】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731.74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油漆【混凝土栏杆乳胶漆二遍；】</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油漆【金属栏杆油漆；】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136.02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更换花岗岩栏杆【更换花岗岩栏杆；花岗岩栏杆高度综合考虑；不包含原花岗岩栏杆拆除外运】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1882.78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浆砌块料【M10水泥砂浆浆砌块石挡土墙；】</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820.17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挡墙混疑土压顶【现浇C20砼压顶(包括模板)；】</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1238.55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40305004001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砖砌体【维修砖石砌体 砖结构;】</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1370.86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40305004002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砖砌体【墙面粉刷砂浆做面;】</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41.35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40303001001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混凝土垫层【C25砼驳岸垫层,含模板;】</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798.7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40303002001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混凝土基础及墙身【C25砼驳岸基础及挡墙;含模板;】</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920.34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40306001001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泄水管【PVC-U硬聚氯乙烯管  dn110;】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70.63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七</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机械、人工</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锯缝机【锯缝机台班】</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履带式液压岩石破碎机【履带式液压岩石破碎机(HB20G)】</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1490.89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风动凿岩机(手持式)【风动凿岩机(手持式)】</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12.55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推土机【履带式推土机(75KW以内)】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1135.02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推土机【履带式推土机(105KW以内)】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1301.11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履带式挖掘机【履带式单斗挖掘机(液压1M3)】</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1733.82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履带式挖掘机【履带式单斗挖掘机(液压0.6M3)】</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965.91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汽车式起重机【汽车式起重机(8T)】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967.83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汽车式起重机【汽车式起重机(12T)】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1130.84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汽车式起重机【汽车式起重机(16T)】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1319.76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40201001119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汽车式起重机【汽车式起重机(25T)】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1516.34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汽车式起重机【汽车式起重机(50T)】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3566.06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抽水泵【离心清水泵(Φ50MM）,含动力燃油或电】</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抽水泵【离心清水泵(Φ100MM）,含动力燃油或电】</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215.17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抽水泵【离心清水泵(Φ150MM）,含动力燃油或电】</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228.62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抽水泵【离心清水泵(Φ200MM）,含动力燃油或电】</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295.87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载重汽车【载重汽车(2T)】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30104003006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自卸汽车【自卸汽车(2T)】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509.29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自卸汽车(4T)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506.7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自卸汽车(6T)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919.91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自卸汽车(8T)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1022.27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40101001001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叉车【5t;】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318.07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柴油发电机(15KW)</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591.73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柴油发电机(30KW)</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702.16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40201001129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汽油发电机组(10KW)</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447.78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40201001130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联合疏通车2.5t</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725.19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40201001131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机械进出场【挖掘机、推土机等履带式大型机械进出场费】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次</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941.39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40210011001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零星人工</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工日</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八</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路灯养护</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电缆保护管敷设RVG50【塑料管地埋敷设 RVG50;主材不计;】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40803002002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电缆保护管敷设RVG65【塑料管地埋敷设 RVG65;主材不计;】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40803002003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电缆保护管敷设RVG75【硬塑料管地埋敷设；RVG75;主材不计;】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铜芯电缆敷设【拆除电缆;电缆截面35mm2以内;】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铜芯电缆敷设【电缆敷设;VV6*16MM2;主材不计;】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铜芯电缆敷设【电缆敷设;VV6*25MM2;主材不计;】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 VV4*16;主材不计;】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铜芯电缆敷设【电缆敷设;VV5*16MM2;主材不计;】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40803001006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铜芯电缆敷设【电缆敷设;VV5*25MM2;主材不计;】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16.38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40803006001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电力电缆中间头制安【16平方以下压铜接线端子;】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11.53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40803006002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电力电缆中间头制安【16平方以上干包式电力电缆中间头制安;】</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40803005001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电力电缆终端头制安【16平方以上干包式电力电缆终端头制安;】</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172.65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BVVB2*2.5MM2以内;】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40804002002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BVR 4MM2以内;】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5.86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40804002003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管内穿线【绝缘导线}管内穿线 照明线路 BVR10MM2以内;】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13.26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614.73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800.54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983.55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1121.99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14M路灯基础【铁构件制作,安装,混凝土浇筑;按照标准图集综合考虑】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2623.91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40806001001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接地装置【角钢接地极;接地装置调试，不含接地极主材】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根</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95.65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40804005001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母线【接地母线敷设BVR-25】</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65.83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55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常规照明灯【太阳能庭院灯40W(灯头:580mm一体铝压铸，PC压铸条纹灯罩，普瑞5050芯片，功率30W，12V/30AH三元锂电池，18V50W，五路铜线单晶硅,寿命20年;】</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立路灯杆12M内【安装金属杆 单杆式12M以内;(包括灯杆费);】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2560.49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立路灯杆10M内【立金属杆 单杆式10M以内安装;(不包括灯杆费);】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137.51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立路灯杆15M内【安装金属杆 单杆式15M以内;(不包括灯杆费);】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212.05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40805003003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立路灯杆20M内【安装金属杆 单杆式20M以内;(不包括灯杆费);】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700.45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41001010001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拆路灯杆10M内【拆除金属杆 单杆式10M以内;】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114.04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41001010002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拆路灯杆15M内【拆除金属杆 单杆式15M以内;】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184.47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41001010003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拆路灯杆20M内【拆除金属杆 单杆式20M以内;】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414.64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路灯灯杆调正</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41001010004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拆除单臂悬挑灯架抱杆式【单抱箍】</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174.44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41001010005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安装单臂悬挑灯架抱杆式【单抱箍;主材不计】</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286.41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40801011001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安装时间控制器【时间控制器理换,安装;不计主材;】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54.51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配电板安装【挂线板安装；】</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103.08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拆除LED灯具【拆除LED灯具;】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52.89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安装LED灯具【安装LED灯具;不计主材;】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123.86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安装投光灯【安装投光灯;不计主材;】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路灯高架工程车(14M)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811.06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路灯高架工程车(20M)</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1195.91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41001008001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破除路灯素砼包封</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13.99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40803004001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路灯灯脚包封【C20混凝土路灯灯脚包封】</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40804004003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路灯杆检修门【焊割灯门,补装灯门】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11503003001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塑料栏杆、栏板【路灯变箱式变安全护栏;高度综合考虑】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322.76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11405001001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金属面油漆【路灯箱式变外壳喷漆翻新;】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11405001002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箱变喷迷彩色（金属漆）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40807004001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照度测试 【道路宽度40M以下】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区域</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675.22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其他砌筑井【砖砌矩形检查井规格1100*1100mm井深1m以内;钢纤维井框盖】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2571.49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10501006001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设备基础【电柜基础；500*800*1200(不含挖土,填土)】</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445.94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40804004004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路灯设施编号【路灯设施编号(铝牌);】</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19.08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40504001003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其他砌筑井【砖砌矩形检查井规格600*600mm井深1m以内;钢纤维井框盖】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1431.72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40504001004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其他砌筑井【砖砌矩形检查井规格750*750mm井深2m以内;钢纤维井框盖】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2790.39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40504001005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其他砌筑井【砖砌圆形检查井规格直径750mm井深2m以内;钢纤维井框盖】</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2391.9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更换保险丝</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更换钻石灯接触器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更换继电器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1102.77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更换刀闸</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40801027006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更换配电房高压令克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40801029001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更换32A漏电开关</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43.03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40801009001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不锈钢配电箱，按照原设备型号，参数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1075.87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40801009002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不锈钢接线箱300*400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753.11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40801010001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不锈钢防雨箱</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753.11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40801001008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更换变压器，按照原设备型号，参数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40805001011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LED灯模块，按照原设备型号，参数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11615001001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机械开孔DN100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134.48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11615001002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投光灯灯头支架喷塑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30411002001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金属线槽，按照原设备型号，参数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10801006001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防雨型挂锁</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把</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31301002001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补角灯螺栓拆除气割</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项</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40801017001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无线发射器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531.21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40205020001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监控探头inlink</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1317.95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30507008001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监控摄像设备【400W一体化网络摄像机；HIC-S214;】</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30501005001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电源【监控专用电源;】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30501005002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电源【枪机安装支架;】</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30501012001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交换机【网络交换机;按照原设备型号，参数】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1463.01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259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30504003001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通讯接口输入输出设备【光纤收发器;一光四电百兆交换机/单模单芯/20公里,按设计要求;】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30504003002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通讯接口输入输出设备【光纤收发器;一光一电百兆交换机/单模单芯/20公里,按设计要求;】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537.94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30904008001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模块（模块箱）【千兆光纤模块;按照原设备型号，参数】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828.45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30506007001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视频系统设备【存储费用;NVR216;含硬盘,按设计要求;按照原设备型号，参数】</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26896.84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30502007001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光缆【8芯单模光纤;】</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9.48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30502014001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光纤连接【光缆熔接;】</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点</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40801033001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路灯控制器【安装路灯控制器;】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67.24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40801033002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箱变控制器【安装箱变控制器;】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40801033003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德力西时间控制器【安装德力西时间控制器;】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268.97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40801033004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真空断路器【安装真空断路器,施耐德NSZ100H 3P;】</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九</w:t>
            </w:r>
            <w:r>
              <w:rPr>
                <w:rFonts w:hint="eastAsia" w:ascii="新宋体" w:hAnsi="新宋体" w:eastAsia="新宋体" w:cs="新宋体"/>
                <w:b/>
                <w:bCs/>
                <w:i w:val="0"/>
                <w:iCs w:val="0"/>
                <w:color w:val="000000"/>
                <w:sz w:val="18"/>
                <w:szCs w:val="18"/>
                <w:highlight w:val="none"/>
                <w:u w:val="none"/>
              </w:rPr>
            </w:r>
            <w:r/>
          </w:p>
        </w:tc>
        <w:tc>
          <w:tcPr>
            <w:tcW w:w="3052" w:type="dxa"/>
            <w:vAlign w:val="center"/>
            <w:textDirection w:val="lrTb"/>
            <w:noWrap w:val="false"/>
          </w:tcPr>
          <w:p>
            <w:pPr>
              <w:pStyle w:val="1023"/>
              <w:jc w:val="center"/>
              <w:keepLines w:val="0"/>
              <w:keepNext w:val="0"/>
              <w:widowControl/>
              <w:rPr>
                <w:rFonts w:hint="eastAsia" w:ascii="新宋体" w:hAnsi="新宋体" w:eastAsia="新宋体" w:cs="新宋体"/>
                <w:b/>
                <w:bCs/>
                <w:i w:val="0"/>
                <w:iCs w:val="0"/>
                <w:color w:val="000000"/>
                <w:sz w:val="18"/>
                <w:szCs w:val="18"/>
                <w:highlight w:val="none"/>
                <w:u w:val="none"/>
              </w:rPr>
              <w:suppressLineNumbers w:val="0"/>
            </w:pPr>
            <w:r>
              <w:rPr>
                <w:rFonts w:hint="eastAsia" w:ascii="新宋体" w:hAnsi="新宋体" w:eastAsia="新宋体" w:cs="新宋体"/>
                <w:b/>
                <w:bCs/>
                <w:i w:val="0"/>
                <w:iCs w:val="0"/>
                <w:color w:val="000000"/>
                <w:sz w:val="18"/>
                <w:szCs w:val="18"/>
                <w:highlight w:val="none"/>
                <w:u w:val="none"/>
                <w:lang w:val="en-US" w:eastAsia="zh-CN" w:bidi="ar"/>
              </w:rPr>
              <w:t xml:space="preserve">专项</w:t>
            </w:r>
            <w:r>
              <w:rPr>
                <w:rFonts w:hint="eastAsia" w:ascii="新宋体" w:hAnsi="新宋体" w:eastAsia="新宋体" w:cs="新宋体"/>
                <w:b/>
                <w:bCs/>
                <w:i w:val="0"/>
                <w:iCs w:val="0"/>
                <w:color w:val="000000"/>
                <w:sz w:val="18"/>
                <w:szCs w:val="18"/>
                <w:highlight w:val="none"/>
                <w:u w:val="none"/>
              </w:rPr>
            </w:r>
            <w:r/>
          </w:p>
        </w:tc>
        <w:tc>
          <w:tcPr>
            <w:tcW w:w="584"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706" w:type="dxa"/>
            <w:vAlign w:val="center"/>
            <w:textDirection w:val="lrTb"/>
            <w:noWrap w:val="false"/>
          </w:tcPr>
          <w:p>
            <w:pPr>
              <w:pStyle w:val="1023"/>
              <w:jc w:val="center"/>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c>
          <w:tcPr>
            <w:tcW w:w="1088" w:type="dxa"/>
            <w:vAlign w:val="center"/>
            <w:textDirection w:val="lrTb"/>
            <w:noWrap w:val="false"/>
          </w:tcPr>
          <w:p>
            <w:pPr>
              <w:pStyle w:val="1023"/>
              <w:jc w:val="center"/>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b/>
                <w:bCs/>
                <w:i w:val="0"/>
                <w:iCs w:val="0"/>
                <w:color w:val="000000"/>
                <w:sz w:val="18"/>
                <w:szCs w:val="18"/>
                <w:highlight w:val="none"/>
                <w:u w:val="none"/>
              </w:rPr>
            </w:pPr>
            <w:r>
              <w:rPr>
                <w:rFonts w:hint="eastAsia" w:ascii="新宋体" w:hAnsi="新宋体" w:eastAsia="新宋体" w:cs="新宋体"/>
                <w:b/>
                <w:bCs/>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269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80807013001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管道封堵【雨水管道管径600以下，封堵、拆除、外运;】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1210.36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80807013002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管道封堵【雨水管道管径600以上，封堵、拆除、外运;】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80807013003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管道封堵【污水管道（管径综合考虑），封堵、拆除、外运;】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1815.54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80807013004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管道封堵【蛙人潜水作业,封堵、拆除、外运（管径综合考虑）;】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6051.79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41104003001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施工护栏【安全围栏搭拆,高度2.2米,满足交通安全要求;高度不同按比例调整;】</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86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41108002003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高新区专职巡查费用【专职高新区内巡视检查、记录并上报情况、设置必要的安全警示标志（含两人一车365天24小时巡视,网络巡查及现场巡查,人员、设备必须符合建设方要求,年度包干费用,不可竞争费;】</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项</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309313.66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清理、维修泵站及截流井（平面尺寸2.0*2.0以上）;</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11431.16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40504002002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泵站、调蓄池维护保养</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座*年</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4841.43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40504002003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截流井维护保养</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座*年</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2420.72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花岗岩树池铺设【铺设花岗岩树池（规格综合考虑）,挖槽、铺砼基础、花岗岩侧石铺设、场地清理;】</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128.23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7"/>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279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10101001001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场地平整</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23"/>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41104001001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钢板租赁</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块*天</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40205018001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警示柱【安装D110钢管警示桩;】</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根</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174.83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41108002004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机器人视频检测【机器人视频检测；】</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台班</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2204.92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40201001132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更换盖板【更换不锈钢包边电力井盖板（规格500*1440*150）;】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1462.14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40201001133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更换盖板【更换不锈钢包边电力井盖板（规格500*1740*150）;】</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1759.93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80807013005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人工拆除【人工拆除管道闷头（管径综合考虑）;】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216"/>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40103002001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土方外购【土方外购;】</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40201001134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沥青摊铺【冷铺沥青补坑洞;】</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3489.66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40204003010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砼路面零星修补【修补零星砼（C30）路面、零星砼坑洞;】</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m3</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1143.12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289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零星道板修补【零星砼预制道板修补（规格综合考虑）;】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211.14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40204002002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零星道板修补【零星花岗岩道板修补（规格综合考虑）;】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m2</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430.35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零星侧、平石修补【零星砼预制侧、平石修补（规格综合考虑）;】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188.28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40204004002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零星侧、平石修补【零星花岗岩侧、平石修补（规格综合考虑）;】</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326.8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40801016001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真空交流接触器【63A ;含主材;】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1025.28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单灯控制器【含接口，通信费，含主材;技术参数参照相关设计要求。】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390</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731"/>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40801024002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双灯控制器【含接口，通信费，含主材;技术参数参照相关设计要求。】</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423.63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景观灯电源【S-500-12；含主材;】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356.38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景观灯电源【S-300-12；含主材;】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LED灯具电源【150W；含主材;】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201.73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299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LED灯具电源【180W；含主材;】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213.83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草坪灯【220V,6W,H=0.6m；含主材;】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埋地射灯【220V,6X1W,?85；含主材;】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插泥射灯【220V,9X2W,?120；含主材;】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5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LED灯具电源【LED 120W;2模组;色温 4000K±300;整灯光效≥140LM，科锐芯片，英飞特调光电源;CSA-016国标模组及防水接口;防坠落钢丝绳配套;;】</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1008.63</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45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LED灯具电源【LED 180W;2模组;色温 4000K±300;整灯光效≥140LM，科锐芯片，英飞特调光电源;CSA-016国标模组及防水接口;防坠落钢丝绳配套;;】</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1613.81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11304001001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灯带【220V,5W/m；含主材;】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678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49.76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1144"/>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30412004004</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迷彩线条灯【W39*H23*990mm ,12W,DC24V(RGBW外控16段、5050贴片三防灯珠、48株灯珠、IP65)；含主材;】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m</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2208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72.62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电源【400W/24V；防雨型；含主材;】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92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166.76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31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30414003001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漏电保护【63A 3P；含主材;】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46</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110.28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30404022001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景观照明智能回路控制器【ST-LCS04；含主材;】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1629.95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83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30412004005</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洗墙灯【1米/24W/3000K(单色、飞利浦lumiles 3030芯片、18珠灯珠、IP65)；含主材;】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条</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204</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199.04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93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30412004006</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洗墙灯【0.5米/12W/3000K(单色、飞利浦lumiles 3030芯片、18珠灯珠、IP65)；含主材;】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条</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158.69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电源【HLG-320H-24A/24V；含主材;】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349.66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30412004007</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投射灯【绿光φ205/24W/铝壳/12眼防水；含主材;】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329.49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30412004008</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磨砂圆球玻璃灯罩【灯罩φ200；含主材;】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47.07</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315</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磨砂圆球玻璃灯罩【灯罩φ250；含主材;】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60.52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316</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球灯【E27经济型5W/白光；含主材;】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56.48</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628"/>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317</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30412004011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投射灯支架【2*2.5镀锌扁铁；尺寸：210*10；含主材;】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15</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318</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30412004012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景观灯模组【5054型/0.8W/个2.4W/组；含主材;】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组</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66800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1.34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319</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31101007009</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模组电源【ERPE-400-24V；含主材;】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167</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234</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320</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80901010001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智能断路器【MT06N1；含主材;按照原设备型号】</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套</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40076.29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3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321</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31101007010</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空气开关【德力西63A空气开关CDM3型壳断路器;】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336.21</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39"/>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322</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31101007011</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空气开关【德力西125A空气开关CDM3型壳断路器;】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1</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403.45</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25"/>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323</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31101007012</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空气开关【德力西100A空气开关CDM3型壳断路器;】</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2</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376.56</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422"/>
        </w:trPr>
        <w:tc>
          <w:tcPr>
            <w:tcW w:w="522"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324</w:t>
            </w:r>
            <w:r>
              <w:rPr>
                <w:rFonts w:hint="eastAsia" w:ascii="新宋体" w:hAnsi="新宋体" w:eastAsia="新宋体" w:cs="新宋体"/>
                <w:i w:val="0"/>
                <w:iCs w:val="0"/>
                <w:color w:val="000000"/>
                <w:sz w:val="18"/>
                <w:szCs w:val="18"/>
                <w:highlight w:val="none"/>
                <w:u w:val="none"/>
              </w:rPr>
            </w:r>
            <w:r/>
          </w:p>
        </w:tc>
        <w:tc>
          <w:tcPr>
            <w:tcW w:w="1279"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31101007013</w:t>
            </w:r>
            <w:r>
              <w:rPr>
                <w:rFonts w:hint="eastAsia" w:ascii="新宋体" w:hAnsi="新宋体" w:eastAsia="新宋体" w:cs="新宋体"/>
                <w:i w:val="0"/>
                <w:iCs w:val="0"/>
                <w:color w:val="000000"/>
                <w:sz w:val="18"/>
                <w:szCs w:val="18"/>
                <w:highlight w:val="none"/>
                <w:u w:val="none"/>
              </w:rPr>
            </w:r>
            <w:r/>
          </w:p>
        </w:tc>
        <w:tc>
          <w:tcPr>
            <w:tcW w:w="3052" w:type="dxa"/>
            <w:vAlign w:val="center"/>
            <w:textDirection w:val="lrTb"/>
            <w:noWrap w:val="false"/>
          </w:tcPr>
          <w:p>
            <w:pPr>
              <w:pStyle w:val="1023"/>
              <w:jc w:val="left"/>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电源【HLG-320H-24A/24V;含主材;】</w:t>
            </w:r>
            <w:r>
              <w:rPr>
                <w:rFonts w:hint="eastAsia" w:ascii="新宋体" w:hAnsi="新宋体" w:eastAsia="新宋体" w:cs="新宋体"/>
                <w:i w:val="0"/>
                <w:iCs w:val="0"/>
                <w:color w:val="000000"/>
                <w:sz w:val="18"/>
                <w:szCs w:val="18"/>
                <w:highlight w:val="none"/>
                <w:u w:val="none"/>
              </w:rPr>
            </w:r>
            <w:r/>
          </w:p>
        </w:tc>
        <w:tc>
          <w:tcPr>
            <w:tcW w:w="584"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个</w:t>
            </w:r>
            <w:r>
              <w:rPr>
                <w:rFonts w:hint="eastAsia" w:ascii="新宋体" w:hAnsi="新宋体" w:eastAsia="新宋体" w:cs="新宋体"/>
                <w:i w:val="0"/>
                <w:iCs w:val="0"/>
                <w:color w:val="000000"/>
                <w:sz w:val="18"/>
                <w:szCs w:val="18"/>
                <w:highlight w:val="none"/>
                <w:u w:val="none"/>
              </w:rPr>
            </w:r>
            <w:r/>
          </w:p>
        </w:tc>
        <w:tc>
          <w:tcPr>
            <w:tcW w:w="706"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30</w:t>
            </w:r>
            <w:r>
              <w:rPr>
                <w:rFonts w:hint="eastAsia" w:ascii="新宋体" w:hAnsi="新宋体" w:eastAsia="新宋体" w:cs="新宋体"/>
                <w:i w:val="0"/>
                <w:iCs w:val="0"/>
                <w:color w:val="000000"/>
                <w:sz w:val="18"/>
                <w:szCs w:val="18"/>
                <w:highlight w:val="none"/>
                <w:u w:val="none"/>
              </w:rPr>
            </w:r>
            <w:r/>
          </w:p>
        </w:tc>
        <w:tc>
          <w:tcPr>
            <w:tcW w:w="1088" w:type="dxa"/>
            <w:vAlign w:val="center"/>
            <w:textDirection w:val="lrTb"/>
            <w:noWrap w:val="false"/>
          </w:tcPr>
          <w:p>
            <w:pPr>
              <w:pStyle w:val="1023"/>
              <w:jc w:val="center"/>
              <w:keepLines w:val="0"/>
              <w:keepNext w:val="0"/>
              <w:widowControl/>
              <w:rPr>
                <w:rFonts w:hint="eastAsia" w:ascii="新宋体" w:hAnsi="新宋体" w:eastAsia="新宋体" w:cs="新宋体"/>
                <w:i w:val="0"/>
                <w:iCs w:val="0"/>
                <w:color w:val="000000"/>
                <w:sz w:val="18"/>
                <w:szCs w:val="18"/>
                <w:highlight w:val="none"/>
                <w:u w:val="none"/>
              </w:rPr>
              <w:suppressLineNumbers w:val="0"/>
            </w:pPr>
            <w:r>
              <w:rPr>
                <w:rFonts w:hint="eastAsia" w:ascii="新宋体" w:hAnsi="新宋体" w:eastAsia="新宋体" w:cs="新宋体"/>
                <w:i w:val="0"/>
                <w:iCs w:val="0"/>
                <w:color w:val="000000"/>
                <w:sz w:val="18"/>
                <w:szCs w:val="18"/>
                <w:highlight w:val="none"/>
                <w:u w:val="none"/>
                <w:lang w:val="en-US" w:eastAsia="zh-CN" w:bidi="ar"/>
              </w:rPr>
              <w:t xml:space="preserve">470.69</w:t>
            </w: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876"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c>
          <w:tcPr>
            <w:tcW w:w="615" w:type="dxa"/>
            <w:vAlign w:val="center"/>
            <w:textDirection w:val="lrTb"/>
            <w:noWrap w:val="false"/>
          </w:tcPr>
          <w:p>
            <w:pPr>
              <w:pStyle w:val="1023"/>
              <w:jc w:val="right"/>
              <w:rPr>
                <w:rFonts w:hint="eastAsia" w:ascii="新宋体" w:hAnsi="新宋体" w:eastAsia="新宋体" w:cs="新宋体"/>
                <w:i w:val="0"/>
                <w:iCs w:val="0"/>
                <w:color w:val="000000"/>
                <w:sz w:val="18"/>
                <w:szCs w:val="18"/>
                <w:highlight w:val="none"/>
                <w:u w:val="none"/>
              </w:rPr>
            </w:pPr>
            <w:r>
              <w:rPr>
                <w:rFonts w:hint="eastAsia" w:ascii="新宋体" w:hAnsi="新宋体" w:eastAsia="新宋体" w:cs="新宋体"/>
                <w:i w:val="0"/>
                <w:iCs w:val="0"/>
                <w:color w:val="000000"/>
                <w:sz w:val="18"/>
                <w:szCs w:val="18"/>
                <w:highlight w:val="none"/>
                <w:u w:val="none"/>
              </w:rPr>
            </w:r>
            <w:r/>
          </w:p>
        </w:tc>
      </w:tr>
      <w:tr>
        <w:trPr>
          <w:trHeight w:val="534"/>
        </w:trPr>
        <w:tc>
          <w:tcPr>
            <w:gridSpan w:val="5"/>
            <w:tcW w:w="6143"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合</w:t>
            </w:r>
            <w:r>
              <w:rPr>
                <w:rStyle w:val="1293"/>
                <w:color w:val="000000"/>
                <w:highlight w:val="none"/>
                <w:lang w:val="en-US" w:eastAsia="zh-CN" w:bidi="ar"/>
              </w:rPr>
              <w:t xml:space="preserve">    计</w:t>
            </w:r>
            <w:r>
              <w:rPr>
                <w:rFonts w:hint="eastAsia" w:ascii="宋体" w:hAnsi="宋体" w:eastAsia="宋体" w:cs="宋体"/>
                <w:b/>
                <w:bCs/>
                <w:i w:val="0"/>
                <w:iCs w:val="0"/>
                <w:color w:val="000000"/>
                <w:sz w:val="20"/>
                <w:szCs w:val="20"/>
                <w:highlight w:val="none"/>
                <w:u w:val="none"/>
              </w:rPr>
            </w:r>
            <w:r/>
          </w:p>
        </w:tc>
        <w:tc>
          <w:tcPr>
            <w:tcW w:w="1088" w:type="dxa"/>
            <w:vAlign w:val="center"/>
            <w:textDirection w:val="lrTb"/>
            <w:noWrap w:val="false"/>
          </w:tcPr>
          <w:p>
            <w:pPr>
              <w:pStyle w:val="1023"/>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tcW w:w="876" w:type="dxa"/>
            <w:vAlign w:val="center"/>
            <w:textDirection w:val="lrTb"/>
            <w:noWrap w:val="false"/>
          </w:tcPr>
          <w:p>
            <w:pPr>
              <w:pStyle w:val="102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876" w:type="dxa"/>
            <w:vAlign w:val="center"/>
            <w:textDirection w:val="lrTb"/>
            <w:noWrap w:val="false"/>
          </w:tcPr>
          <w:p>
            <w:pPr>
              <w:pStyle w:val="102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tcW w:w="615" w:type="dxa"/>
            <w:vAlign w:val="center"/>
            <w:textDirection w:val="lrTb"/>
            <w:noWrap w:val="false"/>
          </w:tcPr>
          <w:p>
            <w:pPr>
              <w:pStyle w:val="1023"/>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r>
      <w:tr>
        <w:trPr>
          <w:trHeight w:val="516"/>
        </w:trPr>
        <w:tc>
          <w:tcPr>
            <w:gridSpan w:val="5"/>
            <w:tcW w:w="6143" w:type="dxa"/>
            <w:vAlign w:val="center"/>
            <w:vMerge w:val="restart"/>
            <w:textDirection w:val="lrTb"/>
            <w:noWrap w:val="false"/>
          </w:tcPr>
          <w:p>
            <w:pPr>
              <w:pStyle w:val="1023"/>
              <w:jc w:val="center"/>
              <w:keepLines w:val="0"/>
              <w:keepNext w:val="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投标总价</w:t>
            </w:r>
            <w:r>
              <w:rPr>
                <w:rFonts w:hint="eastAsia" w:ascii="宋体" w:hAnsi="宋体" w:eastAsia="宋体" w:cs="宋体"/>
                <w:b/>
                <w:bCs/>
                <w:i w:val="0"/>
                <w:iCs w:val="0"/>
                <w:color w:val="000000"/>
                <w:sz w:val="20"/>
                <w:szCs w:val="20"/>
                <w:highlight w:val="none"/>
                <w:u w:val="none"/>
              </w:rPr>
            </w:r>
            <w:r/>
          </w:p>
        </w:tc>
        <w:tc>
          <w:tcPr>
            <w:gridSpan w:val="4"/>
            <w:tcW w:w="3455" w:type="dxa"/>
            <w:vAlign w:val="center"/>
            <w:textDirection w:val="lrTb"/>
            <w:noWrap w:val="false"/>
          </w:tcPr>
          <w:p>
            <w:pPr>
              <w:pStyle w:val="102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大写：                  元/年</w:t>
            </w:r>
            <w:r>
              <w:rPr>
                <w:rFonts w:hint="eastAsia" w:ascii="宋体" w:hAnsi="宋体" w:eastAsia="宋体" w:cs="宋体"/>
                <w:i w:val="0"/>
                <w:iCs w:val="0"/>
                <w:color w:val="000000"/>
                <w:sz w:val="20"/>
                <w:szCs w:val="20"/>
                <w:highlight w:val="none"/>
                <w:u w:val="none"/>
              </w:rPr>
            </w:r>
            <w:r/>
          </w:p>
        </w:tc>
      </w:tr>
      <w:tr>
        <w:trPr>
          <w:trHeight w:val="532"/>
        </w:trPr>
        <w:tc>
          <w:tcPr>
            <w:gridSpan w:val="5"/>
            <w:tcW w:w="6143" w:type="dxa"/>
            <w:vAlign w:val="center"/>
            <w:vMerge w:val="continue"/>
            <w:textDirection w:val="lrTb"/>
            <w:noWrap w:val="false"/>
          </w:tcPr>
          <w:p>
            <w:pPr>
              <w:pStyle w:val="1023"/>
              <w:jc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sz w:val="20"/>
                <w:szCs w:val="20"/>
                <w:highlight w:val="none"/>
                <w:u w:val="none"/>
              </w:rPr>
            </w:r>
            <w:r/>
          </w:p>
        </w:tc>
        <w:tc>
          <w:tcPr>
            <w:gridSpan w:val="4"/>
            <w:tcW w:w="3455" w:type="dxa"/>
            <w:vAlign w:val="center"/>
            <w:textDirection w:val="lrTb"/>
            <w:noWrap w:val="false"/>
          </w:tcPr>
          <w:p>
            <w:pPr>
              <w:pStyle w:val="1023"/>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小写：                  元/年</w:t>
            </w:r>
            <w:r>
              <w:rPr>
                <w:rFonts w:hint="eastAsia" w:ascii="宋体" w:hAnsi="宋体" w:eastAsia="宋体" w:cs="宋体"/>
                <w:i w:val="0"/>
                <w:iCs w:val="0"/>
                <w:color w:val="000000"/>
                <w:sz w:val="20"/>
                <w:szCs w:val="20"/>
                <w:highlight w:val="none"/>
                <w:u w:val="none"/>
              </w:rPr>
            </w:r>
            <w:r/>
          </w:p>
        </w:tc>
      </w:tr>
    </w:tbl>
    <w:p>
      <w:pPr>
        <w:pStyle w:val="1023"/>
        <w:ind w:firstLine="723"/>
        <w:jc w:val="left"/>
        <w:tabs>
          <w:tab w:val="left" w:pos="1800" w:leader="none"/>
          <w:tab w:val="left" w:pos="5580" w:leader="none"/>
        </w:tabs>
        <w:rPr>
          <w:rFonts w:hint="eastAsia" w:ascii="宋体" w:hAnsi="宋体" w:cs="楷体"/>
          <w:b/>
          <w:bCs/>
          <w:color w:val="000000"/>
          <w:sz w:val="24"/>
          <w:highlight w:val="none"/>
        </w:rPr>
      </w:pPr>
      <w:r>
        <w:rPr>
          <w:rFonts w:hint="eastAsia" w:ascii="宋体" w:hAnsi="宋体" w:cs="楷体"/>
          <w:b/>
          <w:bCs/>
          <w:color w:val="000000"/>
          <w:sz w:val="24"/>
          <w:highlight w:val="none"/>
        </w:rPr>
      </w:r>
      <w:r/>
    </w:p>
    <w:p>
      <w:pPr>
        <w:pStyle w:val="1023"/>
        <w:ind w:firstLine="723"/>
        <w:jc w:val="left"/>
        <w:tabs>
          <w:tab w:val="left" w:pos="1800" w:leader="none"/>
          <w:tab w:val="left" w:pos="5580" w:leader="none"/>
        </w:tabs>
        <w:rPr>
          <w:rFonts w:hint="eastAsia" w:ascii="宋体" w:hAnsi="宋体" w:eastAsia="宋体" w:cs="楷体"/>
          <w:b/>
          <w:bCs/>
          <w:color w:val="000000"/>
          <w:sz w:val="24"/>
          <w:highlight w:val="none"/>
        </w:rPr>
      </w:pPr>
      <w:r>
        <w:rPr>
          <w:rFonts w:hint="eastAsia" w:ascii="宋体" w:hAnsi="宋体" w:eastAsia="宋体" w:cs="楷体"/>
          <w:b/>
          <w:bCs/>
          <w:color w:val="000000"/>
          <w:sz w:val="24"/>
          <w:highlight w:val="none"/>
        </w:rPr>
        <w:t xml:space="preserve">注：1、综合单价是指完成该项目所发生的的全部工作内容的单位费用，为全费用单价，含直接工程费（包括人工费、材料费、施工机械使用费）、措施费（包括环境保护费、文明施工费、安全施工费、临时设施费、夜间施工费、二次搬运费等）、间接费（工程排污费、社会保险费、住房公积金、管理费等）、利润、税金、风险等所有费用。</w:t>
      </w:r>
      <w:r>
        <w:rPr>
          <w:rFonts w:hint="eastAsia" w:ascii="宋体" w:hAnsi="宋体" w:eastAsia="宋体" w:cs="楷体"/>
          <w:b/>
          <w:bCs/>
          <w:color w:val="000000"/>
          <w:sz w:val="24"/>
          <w:highlight w:val="none"/>
        </w:rPr>
      </w:r>
      <w:r/>
    </w:p>
    <w:p>
      <w:pPr>
        <w:pStyle w:val="1023"/>
        <w:ind w:firstLine="723"/>
        <w:jc w:val="left"/>
        <w:tabs>
          <w:tab w:val="left" w:pos="1800" w:leader="none"/>
          <w:tab w:val="left" w:pos="5580" w:leader="none"/>
        </w:tabs>
        <w:rPr>
          <w:rFonts w:hint="eastAsia" w:ascii="宋体" w:hAnsi="宋体" w:eastAsia="宋体" w:cs="楷体"/>
          <w:b/>
          <w:bCs/>
          <w:color w:val="000000"/>
          <w:sz w:val="24"/>
          <w:highlight w:val="none"/>
          <w:lang w:val="en-US" w:eastAsia="zh-CN"/>
        </w:rPr>
      </w:pPr>
      <w:r>
        <w:rPr>
          <w:rFonts w:hint="eastAsia" w:ascii="宋体" w:hAnsi="宋体" w:eastAsia="宋体" w:cs="楷体"/>
          <w:b/>
          <w:bCs/>
          <w:color w:val="000000"/>
          <w:sz w:val="24"/>
          <w:highlight w:val="none"/>
        </w:rPr>
        <w:t xml:space="preserve">2、以上报价均为一年度报价。</w:t>
      </w:r>
      <w:r>
        <w:rPr>
          <w:rFonts w:hint="eastAsia" w:ascii="宋体" w:hAnsi="宋体" w:eastAsia="宋体" w:cs="楷体"/>
          <w:b/>
          <w:bCs/>
          <w:color w:val="000000"/>
          <w:sz w:val="24"/>
          <w:highlight w:val="none"/>
          <w:lang w:val="en-US" w:eastAsia="zh-CN"/>
        </w:rPr>
      </w:r>
      <w:r/>
    </w:p>
    <w:p>
      <w:pPr>
        <w:pStyle w:val="1023"/>
        <w:ind w:firstLine="723"/>
        <w:jc w:val="left"/>
        <w:tabs>
          <w:tab w:val="left" w:pos="1800" w:leader="none"/>
          <w:tab w:val="left" w:pos="5580" w:leader="none"/>
        </w:tabs>
        <w:rPr>
          <w:rFonts w:ascii="宋体" w:hAnsi="宋体" w:cs="楷体"/>
          <w:b/>
          <w:bCs/>
          <w:color w:val="000000"/>
          <w:sz w:val="24"/>
          <w:highlight w:val="none"/>
        </w:rPr>
      </w:pPr>
      <w:r>
        <w:rPr>
          <w:rFonts w:hint="eastAsia" w:ascii="宋体" w:hAnsi="宋体" w:eastAsia="宋体" w:cs="楷体"/>
          <w:b/>
          <w:bCs/>
          <w:color w:val="000000"/>
          <w:sz w:val="24"/>
          <w:highlight w:val="none"/>
        </w:rPr>
        <w:t xml:space="preserve">3、</w:t>
      </w:r>
      <w:r>
        <w:rPr>
          <w:rFonts w:ascii="宋体" w:hAnsi="宋体" w:eastAsia="宋体" w:cs="楷体"/>
          <w:b/>
          <w:bCs/>
          <w:color w:val="000000"/>
          <w:sz w:val="24"/>
          <w:highlight w:val="none"/>
        </w:rPr>
        <w:t xml:space="preserve">如果不提供</w:t>
      </w:r>
      <w:r>
        <w:rPr>
          <w:rFonts w:hint="eastAsia" w:ascii="宋体" w:hAnsi="宋体" w:eastAsia="宋体" w:cs="楷体"/>
          <w:b/>
          <w:bCs/>
          <w:color w:val="000000"/>
          <w:sz w:val="24"/>
          <w:highlight w:val="none"/>
        </w:rPr>
        <w:t xml:space="preserve">明细</w:t>
      </w:r>
      <w:r>
        <w:rPr>
          <w:rFonts w:ascii="宋体" w:hAnsi="宋体" w:eastAsia="宋体" w:cs="楷体"/>
          <w:b/>
          <w:bCs/>
          <w:color w:val="000000"/>
          <w:sz w:val="24"/>
          <w:highlight w:val="none"/>
        </w:rPr>
        <w:t xml:space="preserve">报价将视为没有实质性响应</w:t>
      </w:r>
      <w:r>
        <w:rPr>
          <w:rFonts w:hint="eastAsia" w:ascii="宋体" w:hAnsi="宋体" w:eastAsia="宋体" w:cs="楷体"/>
          <w:b/>
          <w:bCs/>
          <w:color w:val="000000"/>
          <w:sz w:val="24"/>
          <w:highlight w:val="none"/>
        </w:rPr>
        <w:t xml:space="preserve">招</w:t>
      </w:r>
      <w:r>
        <w:rPr>
          <w:rFonts w:hint="eastAsia" w:ascii="宋体" w:hAnsi="宋体" w:cs="楷体"/>
          <w:b/>
          <w:bCs/>
          <w:color w:val="000000"/>
          <w:sz w:val="24"/>
          <w:highlight w:val="none"/>
        </w:rPr>
        <w:t xml:space="preserve">标</w:t>
      </w:r>
      <w:r>
        <w:rPr>
          <w:rFonts w:ascii="宋体" w:hAnsi="宋体" w:cs="楷体"/>
          <w:b/>
          <w:bCs/>
          <w:color w:val="000000"/>
          <w:sz w:val="24"/>
          <w:highlight w:val="none"/>
        </w:rPr>
        <w:t xml:space="preserve">文件。</w:t>
      </w:r>
      <w:r>
        <w:rPr>
          <w:rFonts w:ascii="宋体" w:hAnsi="宋体" w:cs="楷体"/>
          <w:b/>
          <w:bCs/>
          <w:color w:val="000000"/>
          <w:sz w:val="24"/>
          <w:highlight w:val="none"/>
        </w:rPr>
      </w:r>
      <w:r/>
    </w:p>
    <w:p>
      <w:pPr>
        <w:pStyle w:val="1023"/>
        <w:spacing w:before="25" w:after="25" w:line="360" w:lineRule="auto"/>
        <w:rPr>
          <w:color w:val="000000"/>
          <w:sz w:val="24"/>
          <w:highlight w:val="none"/>
          <w:lang w:val="zh-CN"/>
        </w:rPr>
      </w:pPr>
      <w:r>
        <w:rPr>
          <w:color w:val="000000"/>
          <w:sz w:val="24"/>
          <w:highlight w:val="none"/>
          <w:lang w:val="zh-CN"/>
        </w:rPr>
      </w:r>
      <w:r/>
    </w:p>
    <w:p>
      <w:pPr>
        <w:pStyle w:val="1023"/>
        <w:ind w:firstLine="384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23"/>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103"/>
        <w:rPr>
          <w:color w:val="000000"/>
          <w:highlight w:val="none"/>
        </w:rPr>
        <w:sectPr>
          <w:footnotePr/>
          <w:endnotePr/>
          <w:type w:val="nextPage"/>
          <w:pgSz w:w="11905" w:h="16838" w:orient="portrait"/>
          <w:pgMar w:top="1417" w:right="1417" w:bottom="1417" w:left="1417" w:header="850" w:footer="992" w:gutter="0"/>
          <w:cols w:num="1" w:sep="0" w:space="1701" w:equalWidth="1"/>
          <w:docGrid w:linePitch="360"/>
        </w:sectPr>
      </w:pPr>
      <w:r>
        <w:rPr>
          <w:color w:val="000000"/>
          <w:highlight w:val="none"/>
        </w:rPr>
      </w:r>
      <w:r/>
    </w:p>
    <w:p>
      <w:pPr>
        <w:pStyle w:val="1025"/>
        <w:jc w:val="center"/>
        <w:tabs>
          <w:tab w:val="right" w:pos="8937" w:leader="dot"/>
        </w:tabs>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1037"/>
        <w:rPr>
          <w:color w:val="000000"/>
          <w:highlight w:val="none"/>
        </w:rPr>
      </w:pPr>
      <w:r>
        <w:rPr>
          <w:color w:val="000000"/>
          <w:highlight w:val="none"/>
        </w:rPr>
      </w:r>
      <w:r/>
    </w:p>
    <w:p>
      <w:pPr>
        <w:pStyle w:val="1025"/>
        <w:jc w:val="left"/>
        <w:spacing w:before="0" w:line="360" w:lineRule="auto"/>
        <w:tabs>
          <w:tab w:val="center" w:pos="4592" w:leader="none"/>
          <w:tab w:val="left" w:pos="7860" w:leader="none"/>
        </w:tabs>
        <w:rPr>
          <w:b w:val="0"/>
          <w:color w:val="000000"/>
          <w:sz w:val="24"/>
          <w:highlight w:val="none"/>
          <w:u w:val="singl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hint="eastAsia" w:ascii="宋体" w:hAnsi="宋体" w:cs="楷体"/>
          <w:b w:val="0"/>
          <w:color w:val="000000"/>
          <w:sz w:val="24"/>
          <w:highlight w:val="none"/>
        </w:rPr>
        <w:t xml:space="preserve">                     </w:t>
      </w:r>
      <w:r>
        <w:rPr>
          <w:b w:val="0"/>
          <w:color w:val="000000"/>
          <w:sz w:val="24"/>
          <w:highlight w:val="none"/>
          <w:u w:val="single"/>
        </w:rPr>
      </w:r>
      <w:r/>
    </w:p>
    <w:p>
      <w:pPr>
        <w:pStyle w:val="1023"/>
        <w:rPr>
          <w:rFonts w:hint="eastAsia" w:ascii="宋体" w:hAnsi="宋体" w:cs="楷体"/>
          <w:b/>
          <w:color w:val="000000"/>
          <w:sz w:val="32"/>
          <w:szCs w:val="32"/>
          <w:highlight w:val="none"/>
        </w:rPr>
      </w:pPr>
      <w:r/>
      <w:bookmarkStart w:id="290" w:name="_Toc311189788"/>
      <w:r>
        <w:rPr>
          <w:rFonts w:hint="eastAsia" w:ascii="宋体" w:hAnsi="宋体" w:cs="楷体"/>
          <w:b/>
          <w:color w:val="000000"/>
          <w:sz w:val="32"/>
          <w:szCs w:val="32"/>
          <w:highlight w:val="none"/>
        </w:rPr>
      </w:r>
      <w:r/>
    </w:p>
    <w:p>
      <w:pPr>
        <w:pStyle w:val="1023"/>
        <w:ind w:firstLine="1928"/>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hint="eastAsia" w:ascii="宋体" w:hAnsi="宋体" w:cs="楷体"/>
          <w:b/>
          <w:color w:val="000000"/>
          <w:sz w:val="32"/>
          <w:szCs w:val="32"/>
          <w:highlight w:val="none"/>
        </w:rPr>
      </w:r>
      <w:r/>
    </w:p>
    <w:p>
      <w:pPr>
        <w:pStyle w:val="1023"/>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楷体"/>
          <w:color w:val="000000"/>
          <w:sz w:val="24"/>
          <w:highlight w:val="none"/>
        </w:rPr>
      </w:r>
      <w:r/>
    </w:p>
    <w:p>
      <w:pPr>
        <w:pStyle w:val="127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招标</w:t>
      </w:r>
      <w:r>
        <w:rPr>
          <w:rFonts w:hint="eastAsia" w:ascii="宋体" w:hAnsi="宋体" w:eastAsia="宋体" w:cs="楷体"/>
          <w:color w:val="000000"/>
          <w:sz w:val="24"/>
          <w:szCs w:val="24"/>
          <w:highlight w:val="none"/>
        </w:rPr>
        <w:t xml:space="preserve">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7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lang w:eastAsia="zh-CN"/>
        </w:rPr>
        <w:t xml:space="preserve">招标</w:t>
      </w:r>
      <w:r>
        <w:rPr>
          <w:rFonts w:hint="eastAsia" w:ascii="宋体" w:hAnsi="宋体" w:eastAsia="宋体" w:cs="楷体"/>
          <w:color w:val="000000"/>
          <w:sz w:val="24"/>
          <w:szCs w:val="24"/>
          <w:highlight w:val="none"/>
        </w:rPr>
        <w:t xml:space="preserve">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hint="eastAsia" w:ascii="宋体" w:hAnsi="宋体" w:eastAsia="宋体" w:cs="楷体"/>
          <w:color w:val="000000"/>
          <w:sz w:val="24"/>
          <w:szCs w:val="24"/>
          <w:highlight w:val="none"/>
        </w:rPr>
      </w:r>
      <w:r/>
    </w:p>
    <w:p>
      <w:pPr>
        <w:pStyle w:val="127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hint="eastAsia" w:ascii="宋体" w:hAnsi="宋体" w:eastAsia="宋体" w:cs="楷体"/>
          <w:color w:val="000000"/>
          <w:sz w:val="24"/>
          <w:szCs w:val="24"/>
          <w:highlight w:val="none"/>
        </w:rPr>
      </w:r>
      <w:r/>
    </w:p>
    <w:p>
      <w:pPr>
        <w:pStyle w:val="1275"/>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hint="eastAsia" w:ascii="宋体" w:hAnsi="宋体" w:eastAsia="宋体" w:cs="楷体"/>
          <w:color w:val="000000"/>
          <w:sz w:val="24"/>
          <w:szCs w:val="24"/>
          <w:highlight w:val="none"/>
        </w:rPr>
      </w:r>
      <w:r/>
    </w:p>
    <w:p>
      <w:pPr>
        <w:pStyle w:val="1023"/>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hint="eastAsia" w:ascii="宋体" w:hAnsi="宋体" w:cs="楷体"/>
          <w:color w:val="000000"/>
          <w:sz w:val="24"/>
          <w:highlight w:val="none"/>
        </w:rPr>
      </w:r>
      <w:r/>
    </w:p>
    <w:p>
      <w:pPr>
        <w:pStyle w:val="1023"/>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1023"/>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23"/>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rPr>
          <w:rFonts w:hint="eastAsia" w:ascii="宋体" w:hAnsi="宋体" w:cs="楷体"/>
          <w:color w:val="000000"/>
          <w:sz w:val="24"/>
          <w:highlight w:val="none"/>
        </w:rPr>
      </w:r>
      <w:r/>
    </w:p>
    <w:p>
      <w:pPr>
        <w:pStyle w:val="1275"/>
        <w:ind w:firstLine="400"/>
        <w:rPr>
          <w:color w:val="000000"/>
          <w:highlight w:val="none"/>
        </w:rPr>
      </w:pPr>
      <w:r>
        <w:rPr>
          <w:color w:val="000000"/>
          <w:highlight w:val="none"/>
        </w:rPr>
      </w:r>
      <w:r/>
    </w:p>
    <w:p>
      <w:pPr>
        <w:pStyle w:val="1054"/>
        <w:spacing w:line="440" w:lineRule="exact"/>
        <w:tabs>
          <w:tab w:val="left" w:pos="567" w:leader="none"/>
        </w:tabs>
        <w:rPr>
          <w:rFonts w:hint="eastAsia"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hint="eastAsia" w:cs="楷体"/>
          <w:color w:val="000000"/>
          <w:highlight w:val="none"/>
        </w:rPr>
      </w:r>
      <w:r/>
    </w:p>
    <w:p>
      <w:pPr>
        <w:pStyle w:val="127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hint="eastAsia" w:ascii="宋体" w:hAnsi="宋体" w:eastAsia="宋体" w:cs="楷体"/>
          <w:color w:val="000000"/>
          <w:sz w:val="24"/>
          <w:szCs w:val="24"/>
          <w:highlight w:val="none"/>
        </w:rPr>
      </w:r>
      <w:r/>
    </w:p>
    <w:p>
      <w:pPr>
        <w:pStyle w:val="127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7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7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275"/>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r>
      <w:r/>
    </w:p>
    <w:p>
      <w:pPr>
        <w:pStyle w:val="1023"/>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rFonts w:hint="eastAsia" w:ascii="Times New Roman" w:hAnsi="Times New Roman" w:eastAsia="宋体" w:cs="Times New Roman"/>
          <w:b/>
          <w:bCs/>
          <w:color w:val="000000"/>
          <w:sz w:val="32"/>
          <w:szCs w:val="32"/>
          <w:highlight w:val="none"/>
        </w:rPr>
        <w:t xml:space="preserve"> （实质性格式）</w:t>
      </w:r>
      <w:r>
        <w:rPr>
          <w:b/>
          <w:color w:val="000000"/>
          <w:sz w:val="32"/>
          <w:szCs w:val="32"/>
          <w:highlight w:val="none"/>
        </w:rPr>
      </w:r>
      <w:r/>
    </w:p>
    <w:p>
      <w:pPr>
        <w:pStyle w:val="1023"/>
        <w:ind w:firstLine="504"/>
        <w:spacing w:line="588" w:lineRule="exact"/>
        <w:rPr>
          <w:rFonts w:hint="eastAsia"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hint="eastAsia" w:ascii="宋体" w:hAnsi="宋体"/>
          <w:color w:val="000000"/>
          <w:spacing w:val="6"/>
          <w:sz w:val="24"/>
          <w:highlight w:val="none"/>
        </w:rPr>
      </w:r>
      <w:r/>
    </w:p>
    <w:p>
      <w:pPr>
        <w:pStyle w:val="1023"/>
        <w:ind w:firstLine="482"/>
        <w:spacing w:line="588" w:lineRule="exact"/>
        <w:rPr>
          <w:rFonts w:hint="eastAsia"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hint="eastAsia" w:ascii="宋体" w:hAnsi="宋体"/>
          <w:b/>
          <w:color w:val="000000"/>
          <w:spacing w:val="6"/>
          <w:sz w:val="24"/>
          <w:highlight w:val="none"/>
        </w:rPr>
      </w:r>
      <w:r/>
    </w:p>
    <w:p>
      <w:pPr>
        <w:pStyle w:val="1023"/>
        <w:ind w:firstLine="482"/>
        <w:spacing w:line="588" w:lineRule="exact"/>
        <w:rPr>
          <w:rFonts w:hint="eastAsia"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olor w:val="000000"/>
          <w:spacing w:val="6"/>
          <w:sz w:val="24"/>
          <w:highlight w:val="none"/>
        </w:rPr>
      </w:r>
      <w:r/>
    </w:p>
    <w:p>
      <w:pPr>
        <w:pStyle w:val="1023"/>
        <w:ind w:firstLine="506"/>
        <w:spacing w:line="588" w:lineRule="exact"/>
        <w:rPr>
          <w:rFonts w:hint="eastAsia"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hint="eastAsia" w:ascii="宋体" w:hAnsi="宋体"/>
          <w:color w:val="000000"/>
          <w:spacing w:val="6"/>
          <w:sz w:val="24"/>
          <w:highlight w:val="none"/>
        </w:rPr>
      </w:r>
      <w:r/>
    </w:p>
    <w:p>
      <w:pPr>
        <w:pStyle w:val="1023"/>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23"/>
        <w:ind w:firstLine="504"/>
        <w:spacing w:line="588" w:lineRule="exact"/>
        <w:rPr>
          <w:rFonts w:hint="eastAsia" w:ascii="宋体" w:hAnsi="宋体"/>
          <w:color w:val="000000"/>
          <w:spacing w:val="6"/>
          <w:sz w:val="24"/>
          <w:highlight w:val="none"/>
        </w:rPr>
      </w:pPr>
      <w:r>
        <w:rPr>
          <w:rFonts w:hint="eastAsia" w:ascii="宋体" w:hAnsi="宋体"/>
          <w:color w:val="000000"/>
          <w:spacing w:val="6"/>
          <w:sz w:val="24"/>
          <w:highlight w:val="none"/>
        </w:rPr>
      </w:r>
      <w:r/>
    </w:p>
    <w:p>
      <w:pPr>
        <w:pStyle w:val="1023"/>
        <w:ind w:firstLine="3780"/>
        <w:spacing w:line="400" w:lineRule="exact"/>
        <w:rPr>
          <w:rFonts w:hint="eastAsia"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23"/>
        <w:ind w:right="1560" w:firstLine="504"/>
        <w:jc w:val="center"/>
        <w:spacing w:line="588" w:lineRule="exact"/>
        <w:tabs>
          <w:tab w:val="left" w:pos="4860" w:leader="none"/>
        </w:tabs>
        <w:rPr>
          <w:rFonts w:hint="eastAsia" w:ascii="宋体" w:hAnsi="宋体"/>
          <w:color w:val="000000"/>
          <w:spacing w:val="6"/>
          <w:sz w:val="24"/>
          <w:highlight w:val="none"/>
        </w:rPr>
        <w:sectPr>
          <w:footerReference w:type="even" r:id="rId18"/>
          <w:footerReference w:type="first" r:id="rId19"/>
          <w:footnotePr/>
          <w:endnotePr/>
          <w:type w:val="nextPage"/>
          <w:pgSz w:w="11905" w:h="16838" w:orient="portrait"/>
          <w:pgMar w:top="1417" w:right="1417" w:bottom="1417" w:left="1417" w:header="850" w:footer="992" w:gutter="0"/>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r>
        <w:rPr>
          <w:rFonts w:hint="eastAsia" w:ascii="宋体" w:hAnsi="宋体"/>
          <w:color w:val="000000"/>
          <w:spacing w:val="6"/>
          <w:sz w:val="24"/>
          <w:highlight w:val="none"/>
        </w:rPr>
      </w:r>
      <w:r/>
    </w:p>
    <w:p>
      <w:pPr>
        <w:pStyle w:val="1023"/>
        <w:jc w:val="center"/>
        <w:spacing w:before="240" w:after="240" w:line="360" w:lineRule="auto"/>
        <w:rPr>
          <w:rFonts w:hint="eastAsia" w:ascii="Times New Roman" w:hAnsi="Times New Roman" w:eastAsia="宋体" w:cs="Times New Roman"/>
          <w:b/>
          <w:bCs/>
          <w:color w:val="000000"/>
          <w:sz w:val="32"/>
          <w:szCs w:val="32"/>
          <w:highlight w:val="none"/>
        </w:rPr>
      </w:pPr>
      <w:r/>
      <w:bookmarkEnd w:id="290"/>
      <w:r>
        <w:rPr>
          <w:rFonts w:hint="eastAsia"/>
          <w:b/>
          <w:color w:val="000000"/>
          <w:spacing w:val="20"/>
          <w:sz w:val="32"/>
          <w:szCs w:val="32"/>
          <w:highlight w:val="none"/>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rPr>
          <w:rFonts w:hint="eastAsia" w:ascii="Times New Roman" w:hAnsi="Times New Roman" w:eastAsia="宋体" w:cs="Times New Roman"/>
          <w:b/>
          <w:bCs/>
          <w:color w:val="000000"/>
          <w:sz w:val="32"/>
          <w:szCs w:val="32"/>
          <w:highlight w:val="none"/>
        </w:rPr>
      </w:r>
      <w:r/>
    </w:p>
    <w:p>
      <w:pPr>
        <w:pStyle w:val="1084"/>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8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4"/>
          <w:szCs w:val="24"/>
          <w:highlight w:val="none"/>
        </w:rPr>
      </w:r>
      <w:r/>
    </w:p>
    <w:p>
      <w:pPr>
        <w:pStyle w:val="108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98"/>
          <w:rFonts w:hint="eastAsia" w:ascii="宋体" w:hAnsi="宋体" w:eastAsia="宋体" w:cs="宋体"/>
          <w:i w:val="0"/>
          <w:color w:val="000000"/>
          <w:sz w:val="24"/>
          <w:szCs w:val="24"/>
          <w:highlight w:val="none"/>
          <w:u w:val="single"/>
          <w:shd w:val="clear" w:color="auto" w:fill="ffffff"/>
        </w:rPr>
        <w:t xml:space="preserve">（产品名称1）</w:t>
      </w:r>
      <w:r>
        <w:rPr>
          <w:rStyle w:val="1098"/>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98"/>
          <w:rFonts w:hint="eastAsia" w:ascii="宋体" w:hAnsi="宋体" w:eastAsia="宋体" w:cs="宋体"/>
          <w:i w:val="0"/>
          <w:color w:val="000000"/>
          <w:sz w:val="24"/>
          <w:szCs w:val="24"/>
          <w:highlight w:val="none"/>
          <w:u w:val="single"/>
          <w:shd w:val="clear" w:color="auto" w:fill="ffffff"/>
        </w:rPr>
        <w:t xml:space="preserve">（厂名）</w:t>
      </w:r>
      <w:r>
        <w:rPr>
          <w:rStyle w:val="1098"/>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9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98"/>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98"/>
          <w:rFonts w:hint="eastAsia" w:ascii="宋体" w:hAnsi="宋体" w:eastAsia="宋体" w:cs="宋体"/>
          <w:i w:val="0"/>
          <w:color w:val="000000"/>
          <w:sz w:val="24"/>
          <w:szCs w:val="24"/>
          <w:highlight w:val="none"/>
          <w:u w:val="single"/>
          <w:shd w:val="clear" w:color="auto" w:fill="ffffff"/>
        </w:rPr>
        <w:t xml:space="preserve">（规定比例）</w:t>
      </w:r>
      <w:r>
        <w:rPr>
          <w:rStyle w:val="1098"/>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9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98"/>
          <w:rFonts w:hint="eastAsia" w:ascii="宋体" w:hAnsi="宋体" w:eastAsia="宋体" w:cs="宋体"/>
          <w:i w:val="0"/>
          <w:color w:val="000000"/>
          <w:sz w:val="24"/>
          <w:szCs w:val="24"/>
          <w:highlight w:val="none"/>
          <w:u w:val="single"/>
          <w:shd w:val="clear" w:color="auto" w:fill="ffffff"/>
        </w:rPr>
        <w:t xml:space="preserve">（关键组件）</w:t>
      </w:r>
      <w:r>
        <w:rPr>
          <w:rStyle w:val="1098"/>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9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98"/>
          <w:rFonts w:hint="eastAsia" w:ascii="宋体" w:hAnsi="宋体" w:eastAsia="宋体" w:cs="宋体"/>
          <w:i w:val="0"/>
          <w:color w:val="000000"/>
          <w:sz w:val="24"/>
          <w:szCs w:val="24"/>
          <w:highlight w:val="none"/>
          <w:u w:val="single"/>
          <w:shd w:val="clear" w:color="auto" w:fill="ffffff"/>
        </w:rPr>
        <w:t xml:space="preserve">（关键工序）</w:t>
      </w:r>
      <w:r>
        <w:rPr>
          <w:rStyle w:val="1098"/>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8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9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98"/>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98"/>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9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98"/>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98"/>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98"/>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98"/>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98"/>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rPr>
          <w:rFonts w:hint="eastAsia" w:ascii="宋体" w:hAnsi="宋体" w:eastAsia="宋体" w:cs="宋体"/>
          <w:color w:val="000000"/>
          <w:sz w:val="24"/>
          <w:szCs w:val="24"/>
          <w:highlight w:val="none"/>
        </w:rPr>
      </w:r>
      <w:r/>
    </w:p>
    <w:p>
      <w:pPr>
        <w:pStyle w:val="108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r>
      <w:r/>
    </w:p>
    <w:p>
      <w:pPr>
        <w:pStyle w:val="1084"/>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84"/>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rPr>
          <w:rFonts w:hint="eastAsia" w:ascii="宋体" w:hAnsi="宋体" w:eastAsia="宋体" w:cs="宋体"/>
          <w:color w:val="000000"/>
          <w:sz w:val="24"/>
          <w:szCs w:val="24"/>
          <w:highlight w:val="none"/>
        </w:rPr>
      </w:r>
      <w:r/>
    </w:p>
    <w:p>
      <w:pPr>
        <w:pStyle w:val="1084"/>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rPr>
          <w:rFonts w:hint="eastAsia" w:ascii="宋体" w:hAnsi="宋体" w:eastAsia="宋体" w:cs="宋体"/>
          <w:color w:val="000000"/>
          <w:sz w:val="24"/>
          <w:szCs w:val="24"/>
          <w:highlight w:val="none"/>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rPr>
          <w:rFonts w:hint="eastAsia" w:ascii="宋体" w:hAnsi="宋体" w:eastAsia="宋体" w:cs="宋体"/>
          <w:color w:val="000000"/>
          <w:sz w:val="24"/>
          <w:szCs w:val="24"/>
          <w:highlight w:val="none"/>
          <w:shd w:val="clear" w:color="auto" w:fill="ffffff"/>
        </w:rPr>
      </w:r>
      <w:r/>
    </w:p>
    <w:p>
      <w:pPr>
        <w:pStyle w:val="1084"/>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rPr>
          <w:rFonts w:hint="eastAsia" w:ascii="宋体" w:hAnsi="宋体" w:eastAsia="宋体" w:cs="宋体"/>
          <w:color w:val="000000"/>
          <w:sz w:val="24"/>
          <w:szCs w:val="24"/>
          <w:highlight w:val="none"/>
          <w:shd w:val="clear" w:color="auto" w:fill="ffffff"/>
        </w:rPr>
      </w:r>
      <w:r/>
    </w:p>
    <w:p>
      <w:pPr>
        <w:pStyle w:val="1023"/>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br w:type="page" w:clear="all"/>
      </w:r>
      <w:r>
        <w:rPr>
          <w:rFonts w:hint="eastAsia"/>
          <w:b/>
          <w:color w:val="000000"/>
          <w:spacing w:val="20"/>
          <w:sz w:val="32"/>
          <w:szCs w:val="32"/>
          <w:highlight w:val="none"/>
          <w:lang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105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1023"/>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lang w:eastAsia="zh-CN"/>
        </w:rPr>
        <w:t xml:space="preserve">招标</w:t>
      </w:r>
      <w:r>
        <w:rPr>
          <w:rFonts w:hint="eastAsia" w:ascii="宋体" w:hAnsi="宋体" w:cs="宋体"/>
          <w:color w:val="000000"/>
          <w:sz w:val="24"/>
          <w:highlight w:val="none"/>
        </w:rPr>
        <w:t xml:space="preserve">文件中提出的需求是最基本的服务要求，各供应商须响应这些要求，并可以在此基础上，根据自身优势进一步优化。本方案可包括（但不限于）以下内容：</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olor w:val="000000"/>
          <w:sz w:val="24"/>
          <w:highlight w:val="none"/>
        </w:rPr>
        <w:t xml:space="preserve">详细实施方案</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需要采购人协助的事项</w:t>
      </w:r>
      <w:r>
        <w:rPr>
          <w:rFonts w:hint="eastAsia" w:ascii="宋体" w:hAnsi="宋体" w:cs="宋体"/>
          <w:color w:val="000000"/>
          <w:sz w:val="24"/>
          <w:highlight w:val="none"/>
        </w:rPr>
      </w:r>
      <w:r/>
    </w:p>
    <w:p>
      <w:pPr>
        <w:pStyle w:val="1023"/>
        <w:numPr>
          <w:ilvl w:val="1"/>
          <w:numId w:val="10"/>
        </w:numPr>
        <w:spacing w:line="400" w:lineRule="exact"/>
        <w:tabs>
          <w:tab w:val="left" w:pos="114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hint="eastAsia" w:ascii="宋体" w:hAnsi="宋体" w:cs="宋体"/>
          <w:color w:val="000000"/>
          <w:sz w:val="24"/>
          <w:highlight w:val="none"/>
        </w:rPr>
      </w:r>
      <w:r/>
    </w:p>
    <w:p>
      <w:pPr>
        <w:pStyle w:val="1023"/>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023"/>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1023"/>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23"/>
        <w:ind w:firstLine="4414"/>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1023"/>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rPr>
          <w:rFonts w:hint="eastAsia" w:ascii="宋体" w:hAnsi="宋体"/>
          <w:color w:val="000000"/>
          <w:sz w:val="24"/>
          <w:highlight w:val="none"/>
        </w:rPr>
      </w:r>
      <w:r/>
    </w:p>
    <w:p>
      <w:pPr>
        <w:pStyle w:val="1023"/>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1023"/>
        <w:rPr>
          <w:rFonts w:hint="eastAsia" w:ascii="楷体" w:hAnsi="楷体" w:eastAsia="楷体" w:cs="楷体"/>
          <w:b/>
          <w:bCs/>
          <w:color w:val="000000"/>
          <w:sz w:val="24"/>
          <w:highlight w:val="none"/>
        </w:rPr>
      </w:pPr>
      <w:r>
        <w:rPr>
          <w:rFonts w:hint="eastAsia" w:ascii="楷体" w:hAnsi="楷体" w:eastAsia="楷体" w:cs="楷体"/>
          <w:b/>
          <w:bCs/>
          <w:color w:val="000000"/>
          <w:sz w:val="24"/>
          <w:highlight w:val="none"/>
        </w:rPr>
      </w:r>
      <w:r/>
    </w:p>
    <w:p>
      <w:pPr>
        <w:pStyle w:val="1023"/>
        <w:ind w:firstLine="2529"/>
        <w:spacing w:line="400" w:lineRule="exact"/>
        <w:rPr>
          <w:b/>
          <w:color w:val="000000"/>
          <w:spacing w:val="20"/>
          <w:sz w:val="32"/>
          <w:szCs w:val="32"/>
          <w:highlight w:val="none"/>
        </w:rPr>
        <w:outlineLvl w:val="1"/>
      </w:pPr>
      <w:r>
        <w:rPr>
          <w:rFonts w:hint="eastAsia"/>
          <w:b/>
          <w:color w:val="000000"/>
          <w:spacing w:val="20"/>
          <w:sz w:val="32"/>
          <w:szCs w:val="32"/>
          <w:highlight w:val="none"/>
          <w:lang w:eastAsia="zh-CN"/>
        </w:rPr>
        <w:t xml:space="preserve">八</w:t>
      </w:r>
      <w:r>
        <w:rPr>
          <w:rFonts w:hint="eastAsia"/>
          <w:b/>
          <w:color w:val="000000"/>
          <w:spacing w:val="20"/>
          <w:sz w:val="32"/>
          <w:szCs w:val="32"/>
          <w:highlight w:val="none"/>
        </w:rPr>
        <w:t xml:space="preserve">、基本服务承诺书 </w:t>
      </w:r>
      <w:r>
        <w:rPr>
          <w:b/>
          <w:color w:val="000000"/>
          <w:spacing w:val="20"/>
          <w:sz w:val="32"/>
          <w:szCs w:val="32"/>
          <w:highlight w:val="none"/>
        </w:rPr>
        <w:t xml:space="preserve"> </w:t>
      </w:r>
      <w:r>
        <w:rPr>
          <w:b/>
          <w:color w:val="000000"/>
          <w:spacing w:val="20"/>
          <w:sz w:val="32"/>
          <w:szCs w:val="32"/>
          <w:highlight w:val="none"/>
        </w:rPr>
      </w:r>
      <w:r/>
    </w:p>
    <w:p>
      <w:pPr>
        <w:pStyle w:val="1023"/>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pStyle w:val="1023"/>
        <w:numPr>
          <w:ilvl w:val="0"/>
          <w:numId w:val="11"/>
        </w:numPr>
        <w:ind w:firstLine="480"/>
        <w:spacing w:after="0"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1023"/>
        <w:ind w:firstLine="480"/>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ind w:firstLine="480"/>
        <w:jc w:val="left"/>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hint="eastAsia" w:ascii="宋体" w:hAnsi="宋体"/>
          <w:bCs/>
          <w:color w:val="000000"/>
          <w:sz w:val="24"/>
          <w:highlight w:val="non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ind w:firstLine="480"/>
        <w:jc w:val="left"/>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rPr>
          <w:rFonts w:hint="eastAsia" w:ascii="宋体" w:hAnsi="宋体"/>
          <w:bCs/>
          <w:color w:val="000000"/>
          <w:sz w:val="24"/>
          <w:highlight w:val="non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jc w:val="left"/>
        <w:spacing w:after="0"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rPr>
      </w:r>
      <w:r/>
    </w:p>
    <w:p>
      <w:pPr>
        <w:pStyle w:val="1023"/>
        <w:ind w:firstLine="600"/>
        <w:spacing w:after="0"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1103"/>
        <w:spacing w:after="0"/>
        <w:rPr>
          <w:rFonts w:hint="eastAsia"/>
          <w:color w:val="000000"/>
          <w:highlight w:val="none"/>
        </w:rPr>
      </w:pPr>
      <w:r>
        <w:rPr>
          <w:rFonts w:hint="eastAsia"/>
          <w:color w:val="000000"/>
          <w:highlight w:val="none"/>
        </w:rPr>
      </w:r>
      <w:r/>
    </w:p>
    <w:p>
      <w:pPr>
        <w:pStyle w:val="1023"/>
        <w:ind w:firstLine="4320"/>
        <w:spacing w:after="0"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1023"/>
        <w:jc w:val="center"/>
        <w:spacing w:after="0"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1023"/>
        <w:keepLines/>
        <w:keepNext/>
        <w:spacing w:after="240" w:line="360" w:lineRule="auto"/>
        <w:widowControl/>
        <w:rPr>
          <w:color w:val="000000"/>
          <w:highlight w:val="none"/>
        </w:rPr>
        <w:outlineLvl w:val="0"/>
      </w:pPr>
      <w:r>
        <w:rPr>
          <w:color w:val="000000"/>
          <w:highlight w:val="none"/>
        </w:rPr>
      </w:r>
      <w:r/>
    </w:p>
    <w:p>
      <w:pPr>
        <w:pStyle w:val="1023"/>
        <w:jc w:val="center"/>
        <w:spacing w:line="360" w:lineRule="auto"/>
        <w:rPr>
          <w:b/>
          <w:color w:val="000000"/>
          <w:spacing w:val="20"/>
          <w:sz w:val="30"/>
          <w:szCs w:val="30"/>
          <w:highlight w:val="none"/>
        </w:rPr>
      </w:pPr>
      <w:r>
        <w:rPr>
          <w:rFonts w:hint="eastAsia"/>
          <w:b/>
          <w:color w:val="000000"/>
          <w:spacing w:val="20"/>
          <w:sz w:val="30"/>
          <w:szCs w:val="30"/>
          <w:highlight w:val="none"/>
        </w:rPr>
        <w:br w:type="page" w:clear="all"/>
      </w:r>
      <w:r>
        <w:rPr>
          <w:rFonts w:hint="eastAsia"/>
          <w:b/>
          <w:color w:val="000000"/>
          <w:spacing w:val="20"/>
          <w:sz w:val="30"/>
          <w:szCs w:val="30"/>
          <w:highlight w:val="none"/>
          <w:lang w:eastAsia="zh-CN"/>
        </w:rPr>
        <w:t xml:space="preserve">九</w:t>
      </w:r>
      <w:r>
        <w:rPr>
          <w:rFonts w:hint="eastAsia"/>
          <w:b/>
          <w:color w:val="000000"/>
          <w:spacing w:val="20"/>
          <w:sz w:val="30"/>
          <w:szCs w:val="30"/>
          <w:highlight w:val="none"/>
        </w:rPr>
        <w:t xml:space="preserve">、法人授权书（实质性格式）</w:t>
      </w:r>
      <w:r>
        <w:rPr>
          <w:b/>
          <w:color w:val="000000"/>
          <w:spacing w:val="20"/>
          <w:sz w:val="30"/>
          <w:szCs w:val="30"/>
          <w:highlight w:val="none"/>
        </w:rPr>
      </w:r>
      <w:r/>
    </w:p>
    <w:p>
      <w:pPr>
        <w:pStyle w:val="1023"/>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 </w:t>
      </w:r>
      <w:r>
        <w:rPr>
          <w:color w:val="000000"/>
          <w:sz w:val="24"/>
          <w:highlight w:val="none"/>
          <w:u w:val="single"/>
        </w:rPr>
        <w:t xml:space="preserve">     </w:t>
      </w:r>
      <w:r>
        <w:rPr>
          <w:rFonts w:hint="eastAsia"/>
          <w:color w:val="000000"/>
          <w:sz w:val="24"/>
          <w:highlight w:val="none"/>
          <w:u w:val="single"/>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rPr>
          <w:color w:val="000000"/>
          <w:sz w:val="24"/>
          <w:highlight w:val="none"/>
        </w:rPr>
      </w:r>
      <w:r/>
    </w:p>
    <w:p>
      <w:pPr>
        <w:pStyle w:val="1023"/>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rPr>
          <w:color w:val="000000"/>
          <w:sz w:val="24"/>
          <w:highlight w:val="none"/>
        </w:rPr>
      </w:r>
      <w:r/>
    </w:p>
    <w:p>
      <w:pPr>
        <w:pStyle w:val="1023"/>
        <w:ind w:firstLine="480"/>
        <w:spacing w:line="360" w:lineRule="auto"/>
        <w:tabs>
          <w:tab w:val="left" w:pos="360" w:leader="none"/>
        </w:tabs>
        <w:rPr>
          <w:color w:val="000000"/>
          <w:sz w:val="24"/>
          <w:highlight w:val="none"/>
        </w:rPr>
      </w:pPr>
      <w:r>
        <w:rPr>
          <w:color w:val="000000"/>
          <w:sz w:val="24"/>
          <w:highlight w:val="none"/>
        </w:rPr>
      </w:r>
      <w:r/>
    </w:p>
    <w:p>
      <w:pPr>
        <w:pStyle w:val="1023"/>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1023"/>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023"/>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rPr>
          <w:color w:val="000000"/>
          <w:sz w:val="24"/>
          <w:highlight w:val="none"/>
          <w:u w:val="single"/>
        </w:rPr>
      </w:r>
      <w:r/>
    </w:p>
    <w:p>
      <w:pPr>
        <w:pStyle w:val="1023"/>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1023"/>
        <w:ind w:firstLine="4080"/>
        <w:spacing w:line="360" w:lineRule="auto"/>
        <w:tabs>
          <w:tab w:val="left" w:pos="360" w:leader="none"/>
        </w:tabs>
        <w:rPr>
          <w:color w:val="000000"/>
          <w:sz w:val="24"/>
          <w:highlight w:val="none"/>
        </w:rPr>
      </w:pPr>
      <w:r>
        <w:rPr>
          <w:color w:val="000000"/>
          <w:sz w:val="24"/>
          <w:highlight w:val="none"/>
        </w:rPr>
      </w:r>
      <w:r/>
    </w:p>
    <w:p>
      <w:pPr>
        <w:pStyle w:val="1023"/>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rPr>
          <w:color w:val="000000"/>
          <w:sz w:val="24"/>
          <w:highlight w:val="none"/>
        </w:rPr>
      </w:r>
      <w:r/>
    </w:p>
    <w:p>
      <w:pPr>
        <w:pStyle w:val="1023"/>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rPr>
          <w:color w:val="000000"/>
          <w:sz w:val="24"/>
          <w:highlight w:val="none"/>
          <w:u w:val="single"/>
        </w:rPr>
      </w:r>
      <w:r/>
    </w:p>
    <w:p>
      <w:pPr>
        <w:pStyle w:val="1023"/>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291" w:name="_Hlt26955070"/>
      <w:r/>
      <w:bookmarkEnd w:id="291"/>
      <w:r/>
      <w:bookmarkStart w:id="292" w:name="_Hlt26671380"/>
      <w:r/>
      <w:bookmarkEnd w:id="292"/>
      <w:r/>
      <w:bookmarkStart w:id="293" w:name="_格式3__银行出具的资信证明"/>
      <w:r/>
      <w:bookmarkEnd w:id="293"/>
      <w:r>
        <w:rPr>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u w:val="single"/>
        </w:rPr>
      </w:r>
      <w:r/>
    </w:p>
    <w:p>
      <w:pPr>
        <w:pStyle w:val="1023"/>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br w:type="page" w:clear="all"/>
      </w:r>
      <w:r>
        <w:rPr>
          <w:rFonts w:hint="eastAsia"/>
          <w:b/>
          <w:color w:val="000000"/>
          <w:spacing w:val="20"/>
          <w:sz w:val="32"/>
          <w:szCs w:val="32"/>
          <w:highlight w:val="none"/>
          <w:lang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1023"/>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致本项目采购单位及代理单位：</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w:t>
      </w:r>
      <w:r>
        <w:rPr>
          <w:rFonts w:hint="eastAsia" w:ascii="宋体" w:hAnsi="宋体" w:cs="楷体"/>
          <w:color w:val="000000"/>
          <w:sz w:val="24"/>
          <w:highlight w:val="none"/>
          <w:lang w:eastAsia="zh-CN"/>
        </w:rPr>
        <w:t xml:space="preserve">招标</w:t>
      </w:r>
      <w:r>
        <w:rPr>
          <w:rFonts w:hint="eastAsia" w:ascii="宋体" w:hAnsi="宋体" w:cs="楷体"/>
          <w:color w:val="000000"/>
          <w:sz w:val="24"/>
          <w:highlight w:val="none"/>
        </w:rPr>
        <w:t xml:space="preserve">文件的规定，我单位郑重声明如下：</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hint="eastAsia" w:ascii="宋体" w:hAnsi="宋体" w:cs="楷体"/>
          <w:color w:val="000000"/>
          <w:sz w:val="24"/>
          <w:highlight w:val="none"/>
        </w:rPr>
      </w:r>
      <w:r/>
    </w:p>
    <w:p>
      <w:pPr>
        <w:pStyle w:val="1023"/>
        <w:ind w:firstLine="480"/>
        <w:spacing w:line="500" w:lineRule="exact"/>
        <w:rPr>
          <w:rFonts w:hint="eastAsia" w:ascii="宋体" w:hAnsi="宋体" w:cs="楷体"/>
          <w:color w:val="000000"/>
          <w:sz w:val="24"/>
          <w:highlight w:val="none"/>
        </w:rPr>
      </w:pPr>
      <w:r>
        <w:rPr>
          <w:rFonts w:hint="eastAsia" w:ascii="宋体" w:hAnsi="宋体" w:cs="楷体"/>
          <w:color w:val="000000"/>
          <w:sz w:val="24"/>
          <w:highlight w:val="none"/>
        </w:rPr>
      </w:r>
      <w:r/>
    </w:p>
    <w:p>
      <w:pPr>
        <w:pStyle w:val="1054"/>
        <w:ind w:firstLine="4800"/>
        <w:spacing w:before="0" w:line="360" w:lineRule="auto"/>
        <w:tabs>
          <w:tab w:val="left" w:pos="567" w:leader="none"/>
        </w:tabs>
        <w:rPr>
          <w:rFonts w:hint="eastAsia" w:cs="楷体"/>
          <w:color w:val="000000"/>
          <w:highlight w:val="none"/>
        </w:rPr>
      </w:pPr>
      <w:r/>
      <w:bookmarkStart w:id="294" w:name="_Hlk149916533"/>
      <w:r>
        <w:rPr>
          <w:rFonts w:hint="eastAsia"/>
          <w:bCs/>
          <w:color w:val="000000"/>
          <w:highlight w:val="none"/>
        </w:rPr>
        <w:t xml:space="preserve">供应商名称：</w:t>
      </w:r>
      <w:r>
        <w:rPr>
          <w:rFonts w:hint="eastAsia" w:cs="楷体"/>
          <w:color w:val="000000"/>
          <w:highlight w:val="none"/>
        </w:rPr>
        <w:t xml:space="preserve">（加盖CA电子公章）</w:t>
      </w:r>
      <w:r>
        <w:rPr>
          <w:rFonts w:hint="eastAsia" w:cs="楷体"/>
          <w:color w:val="000000"/>
          <w:highlight w:val="none"/>
        </w:rPr>
      </w:r>
      <w:r/>
    </w:p>
    <w:p>
      <w:pPr>
        <w:pStyle w:val="1023"/>
        <w:ind w:firstLine="5040"/>
        <w:spacing w:line="400" w:lineRule="exact"/>
        <w:rPr>
          <w:rFonts w:hint="eastAsia" w:ascii="宋体" w:hAnsi="宋体" w:cs="楷体"/>
          <w:color w:val="000000"/>
          <w:sz w:val="24"/>
          <w:highlight w:val="none"/>
        </w:rPr>
      </w:pPr>
      <w:r/>
      <w:bookmarkEnd w:id="294"/>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023"/>
        <w:ind w:firstLine="480"/>
        <w:jc w:val="center"/>
        <w:spacing w:line="500" w:lineRule="exact"/>
        <w:rPr>
          <w:rFonts w:hint="eastAsia"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hint="eastAsia" w:ascii="宋体" w:hAnsi="宋体" w:cs="楷体"/>
          <w:color w:val="000000"/>
          <w:sz w:val="24"/>
          <w:highlight w:val="none"/>
        </w:rPr>
      </w:r>
      <w:r/>
    </w:p>
    <w:p>
      <w:pPr>
        <w:pStyle w:val="1023"/>
        <w:spacing w:line="440" w:lineRule="exact"/>
        <w:widowControl/>
        <w:rPr>
          <w:rFonts w:hint="eastAsia" w:ascii="宋体" w:hAnsi="宋体" w:cs="楷体"/>
          <w:color w:val="000000"/>
          <w:sz w:val="24"/>
          <w:highlight w:val="none"/>
        </w:rPr>
      </w:pPr>
      <w:r>
        <w:rPr>
          <w:rFonts w:hint="eastAsia" w:ascii="宋体" w:hAnsi="宋体" w:cs="楷体"/>
          <w:color w:val="000000"/>
          <w:sz w:val="24"/>
          <w:highlight w:val="none"/>
        </w:rPr>
      </w:r>
      <w:r/>
    </w:p>
    <w:p>
      <w:pPr>
        <w:pStyle w:val="102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02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023"/>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1277"/>
        <w:spacing w:after="120" w:line="360" w:lineRule="auto"/>
        <w:rPr>
          <w:rFonts w:ascii="Times New Roman" w:eastAsia="宋体"/>
          <w:b/>
          <w:color w:val="000000"/>
          <w:spacing w:val="20"/>
          <w:sz w:val="32"/>
          <w:szCs w:val="32"/>
          <w:highlight w:val="none"/>
          <w:lang w:eastAsia="zh-CN"/>
        </w:rPr>
      </w:pPr>
      <w:r>
        <w:rPr>
          <w:rFonts w:hint="eastAsia" w:ascii="Times New Roman" w:eastAsia="宋体"/>
          <w:b/>
          <w:color w:val="000000"/>
          <w:spacing w:val="20"/>
          <w:sz w:val="32"/>
          <w:szCs w:val="32"/>
          <w:highlight w:val="none"/>
          <w:lang w:eastAsia="zh-CN"/>
        </w:rPr>
        <w:t xml:space="preserve">十一、政府采购供应商信用承诺书</w:t>
      </w:r>
      <w:r>
        <w:rPr>
          <w:rFonts w:ascii="Times New Roman" w:eastAsia="宋体"/>
          <w:b/>
          <w:color w:val="000000"/>
          <w:spacing w:val="20"/>
          <w:sz w:val="32"/>
          <w:szCs w:val="32"/>
          <w:highlight w:val="none"/>
          <w:lang w:eastAsia="zh-CN"/>
        </w:rPr>
        <w:t xml:space="preserve">（实质性格式）</w:t>
      </w:r>
      <w:r>
        <w:rPr>
          <w:rFonts w:ascii="Times New Roman" w:eastAsia="宋体"/>
          <w:b/>
          <w:color w:val="000000"/>
          <w:spacing w:val="20"/>
          <w:sz w:val="32"/>
          <w:szCs w:val="32"/>
          <w:highlight w:val="none"/>
          <w:lang w:eastAsia="zh-CN"/>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楷体"/>
          <w:color w:val="000000"/>
          <w:sz w:val="24"/>
          <w:highlight w:val="none"/>
        </w:rPr>
      </w:r>
      <w:r/>
    </w:p>
    <w:p>
      <w:pPr>
        <w:pStyle w:val="1023"/>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cs="楷体"/>
          <w:color w:val="000000"/>
          <w:sz w:val="24"/>
          <w:highlight w:val="none"/>
        </w:rPr>
      </w:r>
      <w:r/>
    </w:p>
    <w:p>
      <w:pPr>
        <w:pStyle w:val="1023"/>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023"/>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1054"/>
        <w:ind w:firstLine="4560"/>
        <w:spacing w:before="0" w:line="360" w:lineRule="auto"/>
        <w:tabs>
          <w:tab w:val="left" w:pos="567" w:leader="none"/>
        </w:tabs>
        <w:rPr>
          <w:rFonts w:hint="eastAsia" w:cs="楷体"/>
          <w:color w:val="000000"/>
          <w:highlight w:val="none"/>
        </w:rPr>
      </w:pPr>
      <w:r/>
      <w:bookmarkStart w:id="295" w:name="_Hlk149916556"/>
      <w:r>
        <w:rPr>
          <w:rFonts w:hint="eastAsia"/>
          <w:bCs/>
          <w:color w:val="000000"/>
          <w:highlight w:val="none"/>
        </w:rPr>
        <w:t xml:space="preserve">供应商名称：</w:t>
      </w:r>
      <w:r>
        <w:rPr>
          <w:rFonts w:hint="eastAsia" w:cs="楷体"/>
          <w:color w:val="000000"/>
          <w:highlight w:val="none"/>
        </w:rPr>
        <w:t xml:space="preserve">（加盖CA电子公章）</w:t>
      </w:r>
      <w:r>
        <w:rPr>
          <w:rFonts w:hint="eastAsia" w:cs="楷体"/>
          <w:color w:val="000000"/>
          <w:highlight w:val="none"/>
        </w:rPr>
      </w:r>
      <w:r/>
    </w:p>
    <w:p>
      <w:pPr>
        <w:pStyle w:val="1023"/>
        <w:ind w:firstLine="5040"/>
        <w:spacing w:line="400" w:lineRule="exact"/>
        <w:rPr>
          <w:rFonts w:hint="eastAsia" w:ascii="宋体" w:hAnsi="宋体" w:cs="楷体"/>
          <w:color w:val="000000"/>
          <w:sz w:val="24"/>
          <w:highlight w:val="none"/>
        </w:rPr>
      </w:pPr>
      <w:r/>
      <w:bookmarkEnd w:id="295"/>
      <w:r>
        <w:rPr>
          <w:rFonts w:hint="eastAsia" w:ascii="宋体" w:hAnsi="宋体" w:cs="楷体"/>
          <w:color w:val="000000"/>
          <w:sz w:val="24"/>
          <w:highlight w:val="none"/>
        </w:rPr>
        <w:t xml:space="preserve">法定代表人（负责人）：</w:t>
      </w:r>
      <w:r>
        <w:rPr>
          <w:rFonts w:hint="eastAsia" w:ascii="宋体" w:hAnsi="宋体" w:cs="楷体"/>
          <w:color w:val="000000"/>
          <w:sz w:val="24"/>
          <w:highlight w:val="none"/>
        </w:rPr>
      </w:r>
      <w:r/>
    </w:p>
    <w:p>
      <w:pPr>
        <w:pStyle w:val="1272"/>
        <w:ind w:right="0" w:firstLine="5160"/>
        <w:jc w:val="center"/>
        <w:spacing w:line="400" w:lineRule="exact"/>
        <w:rPr>
          <w:rFonts w:hint="eastAsia" w:ascii="宋体" w:hAnsi="宋体" w:eastAsia="宋体" w:cs="楷体"/>
          <w:color w:val="000000"/>
          <w:sz w:val="24"/>
          <w:szCs w:val="24"/>
          <w:highlight w:val="none"/>
          <w:lang w:eastAsia="zh-CN"/>
        </w:rPr>
      </w:pPr>
      <w:r>
        <w:rPr>
          <w:rFonts w:hint="eastAsia" w:ascii="宋体" w:hAnsi="宋体" w:eastAsia="宋体" w:cs="楷体"/>
          <w:color w:val="000000"/>
          <w:sz w:val="24"/>
          <w:szCs w:val="24"/>
          <w:highlight w:val="none"/>
          <w:lang w:val="en-US" w:eastAsia="zh-CN"/>
        </w:rPr>
        <w:t xml:space="preserve">                                 </w:t>
      </w:r>
      <w:r>
        <w:rPr>
          <w:rFonts w:hint="eastAsia" w:ascii="宋体" w:hAnsi="宋体" w:eastAsia="宋体" w:cs="楷体"/>
          <w:color w:val="000000"/>
          <w:sz w:val="24"/>
          <w:szCs w:val="24"/>
          <w:highlight w:val="none"/>
          <w:lang w:eastAsia="zh-CN"/>
        </w:rPr>
        <w:t xml:space="preserve">年   月   日</w:t>
      </w:r>
      <w:r>
        <w:rPr>
          <w:rFonts w:hint="eastAsia" w:ascii="宋体" w:hAnsi="宋体" w:eastAsia="宋体" w:cs="楷体"/>
          <w:color w:val="000000"/>
          <w:sz w:val="24"/>
          <w:szCs w:val="24"/>
          <w:highlight w:val="none"/>
          <w:lang w:eastAsia="zh-CN"/>
        </w:rPr>
      </w:r>
      <w:r/>
    </w:p>
    <w:p>
      <w:pPr>
        <w:pStyle w:val="1272"/>
        <w:ind w:right="0" w:firstLine="5160"/>
        <w:jc w:val="both"/>
        <w:spacing w:line="400" w:lineRule="exact"/>
        <w:rPr>
          <w:rFonts w:hint="eastAsia" w:ascii="宋体" w:hAnsi="宋体" w:eastAsia="宋体" w:cs="楷体"/>
          <w:color w:val="000000"/>
          <w:sz w:val="24"/>
          <w:szCs w:val="24"/>
          <w:highlight w:val="none"/>
          <w:lang w:eastAsia="zh-CN"/>
        </w:rPr>
      </w:pPr>
      <w:r>
        <w:rPr>
          <w:rFonts w:hint="eastAsia" w:ascii="宋体" w:hAnsi="宋体" w:eastAsia="宋体" w:cs="楷体"/>
          <w:color w:val="000000"/>
          <w:sz w:val="24"/>
          <w:szCs w:val="24"/>
          <w:highlight w:val="none"/>
          <w:lang w:eastAsia="zh-CN"/>
        </w:rPr>
      </w:r>
      <w:r/>
    </w:p>
    <w:p>
      <w:pPr>
        <w:pStyle w:val="1272"/>
        <w:ind w:right="0" w:firstLine="5160"/>
        <w:jc w:val="both"/>
        <w:spacing w:line="400" w:lineRule="exact"/>
        <w:rPr>
          <w:rFonts w:hint="eastAsia" w:ascii="宋体" w:hAnsi="宋体" w:eastAsia="宋体" w:cs="楷体"/>
          <w:color w:val="000000"/>
          <w:sz w:val="24"/>
          <w:szCs w:val="24"/>
          <w:highlight w:val="none"/>
          <w:lang w:eastAsia="zh-CN"/>
        </w:rPr>
      </w:pPr>
      <w:r>
        <w:rPr>
          <w:rFonts w:hint="eastAsia" w:ascii="宋体" w:hAnsi="宋体" w:eastAsia="宋体" w:cs="楷体"/>
          <w:color w:val="000000"/>
          <w:sz w:val="24"/>
          <w:szCs w:val="24"/>
          <w:highlight w:val="none"/>
          <w:lang w:eastAsia="zh-CN"/>
        </w:rPr>
      </w:r>
      <w:r/>
    </w:p>
    <w:p>
      <w:pPr>
        <w:pStyle w:val="1272"/>
        <w:ind w:right="0" w:firstLine="5160"/>
        <w:jc w:val="both"/>
        <w:spacing w:line="400" w:lineRule="exact"/>
        <w:rPr>
          <w:rFonts w:hint="eastAsia" w:ascii="宋体" w:hAnsi="宋体" w:eastAsia="宋体" w:cs="楷体"/>
          <w:color w:val="000000"/>
          <w:sz w:val="24"/>
          <w:szCs w:val="24"/>
          <w:highlight w:val="none"/>
          <w:lang w:eastAsia="zh-CN"/>
        </w:rPr>
      </w:pPr>
      <w:r>
        <w:rPr>
          <w:rFonts w:hint="eastAsia" w:ascii="宋体" w:hAnsi="宋体" w:eastAsia="宋体" w:cs="楷体"/>
          <w:color w:val="000000"/>
          <w:sz w:val="24"/>
          <w:szCs w:val="24"/>
          <w:highlight w:val="none"/>
          <w:lang w:eastAsia="zh-CN"/>
        </w:rPr>
      </w:r>
      <w:r/>
    </w:p>
    <w:p>
      <w:pPr>
        <w:pStyle w:val="1272"/>
        <w:ind w:right="0" w:firstLine="5160"/>
        <w:jc w:val="both"/>
        <w:spacing w:line="400" w:lineRule="exact"/>
        <w:rPr>
          <w:rFonts w:hint="eastAsia" w:ascii="宋体" w:hAnsi="宋体" w:eastAsia="宋体" w:cs="楷体"/>
          <w:color w:val="000000"/>
          <w:sz w:val="24"/>
          <w:szCs w:val="24"/>
          <w:highlight w:val="none"/>
          <w:lang w:eastAsia="zh-CN"/>
        </w:rPr>
      </w:pPr>
      <w:r>
        <w:rPr>
          <w:rFonts w:hint="eastAsia" w:ascii="宋体" w:hAnsi="宋体" w:eastAsia="宋体" w:cs="楷体"/>
          <w:color w:val="000000"/>
          <w:sz w:val="24"/>
          <w:szCs w:val="24"/>
          <w:highlight w:val="none"/>
          <w:lang w:eastAsia="zh-CN"/>
        </w:rPr>
      </w:r>
      <w:r/>
    </w:p>
    <w:p>
      <w:pPr>
        <w:pStyle w:val="1023"/>
        <w:ind w:firstLine="2168"/>
        <w:keepLines/>
        <w:keepNext/>
        <w:spacing w:after="240" w:line="360" w:lineRule="auto"/>
        <w:widowControl/>
        <w:rPr>
          <w:rFonts w:hint="eastAsia" w:ascii="Times New Roman" w:hAnsi="Times New Roman" w:eastAsia="宋体" w:cs="Times New Roman"/>
          <w:b/>
          <w:color w:val="000000"/>
          <w:spacing w:val="20"/>
          <w:sz w:val="32"/>
          <w:szCs w:val="32"/>
          <w:highlight w:val="none"/>
        </w:rPr>
        <w:outlineLvl w:val="0"/>
      </w:pPr>
      <w:r>
        <w:rPr>
          <w:rFonts w:hint="eastAsia"/>
          <w:b/>
          <w:color w:val="000000"/>
          <w:spacing w:val="20"/>
          <w:sz w:val="32"/>
          <w:szCs w:val="32"/>
          <w:highlight w:val="none"/>
        </w:rPr>
        <w:br w:type="page" w:clear="all"/>
      </w:r>
      <w:r>
        <w:rPr>
          <w:rFonts w:hint="eastAsia" w:ascii="Times New Roman" w:hAnsi="Times New Roman" w:eastAsia="宋体" w:cs="Times New Roman"/>
          <w:b/>
          <w:color w:val="000000"/>
          <w:spacing w:val="20"/>
          <w:sz w:val="32"/>
          <w:szCs w:val="32"/>
          <w:highlight w:val="none"/>
          <w:lang w:eastAsia="zh-CN"/>
        </w:rPr>
        <w:t xml:space="preserve">十二、</w:t>
      </w:r>
      <w:r>
        <w:rPr>
          <w:rFonts w:hint="eastAsia" w:ascii="Times New Roman" w:hAnsi="Times New Roman" w:eastAsia="宋体" w:cs="Times New Roman"/>
          <w:b/>
          <w:color w:val="000000"/>
          <w:spacing w:val="20"/>
          <w:sz w:val="32"/>
          <w:szCs w:val="32"/>
          <w:highlight w:val="none"/>
        </w:rPr>
        <w:t xml:space="preserve">联合体协议（实质性格式）</w:t>
      </w:r>
      <w:r>
        <w:rPr>
          <w:rFonts w:hint="eastAsia" w:ascii="Times New Roman" w:hAnsi="Times New Roman" w:eastAsia="宋体" w:cs="Times New Roman"/>
          <w:b/>
          <w:color w:val="000000"/>
          <w:spacing w:val="20"/>
          <w:sz w:val="32"/>
          <w:szCs w:val="32"/>
          <w:highlight w:val="none"/>
        </w:rPr>
      </w:r>
      <w:r/>
    </w:p>
    <w:p>
      <w:pPr>
        <w:pStyle w:val="1023"/>
        <w:spacing w:line="560" w:lineRule="exact"/>
        <w:rPr>
          <w:rFonts w:ascii="Adobe 仿宋 Std R" w:hAnsi="Adobe 仿宋 Std R"/>
          <w:color w:val="000000"/>
          <w:sz w:val="24"/>
          <w:szCs w:val="21"/>
          <w:highlight w:val="none"/>
        </w:rPr>
      </w:pPr>
      <w:r/>
      <w:bookmarkStart w:id="296" w:name="_Hlk149905720"/>
      <w:r>
        <w:rPr>
          <w:rFonts w:hint="eastAsia" w:ascii="Adobe 仿宋 Std R" w:hAnsi="Adobe 仿宋 Std R"/>
          <w:color w:val="000000"/>
          <w:sz w:val="24"/>
          <w:szCs w:val="21"/>
          <w:highlight w:val="none"/>
        </w:rPr>
        <w:t xml:space="preserve">（联合体中各供应商全称）在此达成以下协议：</w:t>
      </w:r>
      <w:r>
        <w:rPr>
          <w:rFonts w:ascii="Adobe 仿宋 Std R" w:hAnsi="Adobe 仿宋 Std R"/>
          <w:color w:val="000000"/>
          <w:sz w:val="24"/>
          <w:szCs w:val="21"/>
          <w:highlight w:val="none"/>
        </w:rPr>
      </w:r>
      <w:r/>
    </w:p>
    <w:p>
      <w:pPr>
        <w:pStyle w:val="1023"/>
        <w:ind w:firstLine="720"/>
        <w:jc w:val="left"/>
        <w:spacing w:line="360" w:lineRule="auto"/>
        <w:rPr>
          <w:rFonts w:ascii="宋体" w:hAnsi="宋体"/>
          <w:color w:val="000000"/>
          <w:sz w:val="24"/>
          <w:highlight w:val="none"/>
        </w:rPr>
      </w:pPr>
      <w:r>
        <w:rPr>
          <w:rFonts w:ascii="Adobe 仿宋 Std R" w:hAnsi="Adobe 仿宋 Std R"/>
          <w:color w:val="000000"/>
          <w:sz w:val="24"/>
          <w:szCs w:val="21"/>
          <w:highlight w:val="none"/>
        </w:rPr>
        <w:t xml:space="preserve">1</w:t>
      </w:r>
      <w:r>
        <w:rPr>
          <w:rFonts w:hint="eastAsia" w:ascii="Adobe 仿宋 Std R" w:hAnsi="Adobe 仿宋 Std R"/>
          <w:color w:val="000000"/>
          <w:sz w:val="24"/>
          <w:szCs w:val="21"/>
          <w:highlight w:val="none"/>
        </w:rPr>
        <w:t xml:space="preserve">、我们</w:t>
      </w:r>
      <w:r>
        <w:rPr>
          <w:rFonts w:hint="eastAsia" w:ascii="Adobe 仿宋 Std R" w:hAnsi="Adobe 仿宋 Std R"/>
          <w:color w:val="000000"/>
          <w:sz w:val="24"/>
          <w:szCs w:val="21"/>
          <w:highlight w:val="none"/>
          <w:u w:val="single"/>
        </w:rPr>
        <w:t xml:space="preserve"> （供应商1），（供应商2） </w:t>
      </w:r>
      <w:r>
        <w:rPr>
          <w:rFonts w:hint="eastAsia" w:ascii="Adobe 仿宋 Std R" w:hAnsi="Adobe 仿宋 Std R"/>
          <w:color w:val="000000"/>
          <w:sz w:val="24"/>
          <w:szCs w:val="21"/>
          <w:highlight w:val="none"/>
        </w:rPr>
        <w:t xml:space="preserve">自愿组成联合体，参加</w:t>
      </w:r>
      <w:r>
        <w:rPr>
          <w:rFonts w:hint="eastAsia" w:ascii="宋体" w:hAnsi="宋体"/>
          <w:color w:val="000000"/>
          <w:sz w:val="24"/>
          <w:highlight w:val="none"/>
          <w:lang w:eastAsia="zh-CN"/>
        </w:rPr>
        <w:t xml:space="preserve">常州环宇工程项目管理有限公司</w:t>
      </w:r>
      <w:r>
        <w:rPr>
          <w:rFonts w:hint="eastAsia" w:ascii="Adobe 仿宋 Std R" w:hAnsi="Adobe 仿宋 Std R"/>
          <w:color w:val="000000"/>
          <w:sz w:val="24"/>
          <w:szCs w:val="21"/>
          <w:highlight w:val="none"/>
        </w:rPr>
        <w:t xml:space="preserve">组织的采购编号为</w:t>
      </w:r>
      <w:r>
        <w:rPr>
          <w:rFonts w:hint="eastAsia" w:ascii="Adobe 仿宋 Std R" w:hAnsi="Adobe 仿宋 Std R"/>
          <w:color w:val="000000"/>
          <w:sz w:val="24"/>
          <w:szCs w:val="21"/>
          <w:highlight w:val="none"/>
          <w:u w:val="single"/>
        </w:rPr>
        <w:t xml:space="preserve">（编号全称），（项目全称）</w:t>
      </w:r>
      <w:r>
        <w:rPr>
          <w:rFonts w:hint="eastAsia" w:ascii="Adobe 仿宋 Std R" w:hAnsi="Adobe 仿宋 Std R"/>
          <w:color w:val="000000"/>
          <w:sz w:val="24"/>
          <w:szCs w:val="21"/>
          <w:highlight w:val="none"/>
        </w:rPr>
        <w:t xml:space="preserve">项目 的政府采购活动，我联合体指定</w:t>
      </w:r>
      <w:r>
        <w:rPr>
          <w:rFonts w:hint="eastAsia" w:ascii="Adobe 仿宋 Std R" w:hAnsi="Adobe 仿宋 Std R"/>
          <w:color w:val="000000"/>
          <w:sz w:val="24"/>
          <w:szCs w:val="21"/>
          <w:highlight w:val="none"/>
          <w:u w:val="single"/>
        </w:rPr>
        <w:t xml:space="preserve">（供应商*）</w:t>
      </w:r>
      <w:r>
        <w:rPr>
          <w:rFonts w:hint="eastAsia" w:ascii="Adobe 仿宋 Std R" w:hAnsi="Adobe 仿宋 Std R"/>
          <w:color w:val="000000"/>
          <w:sz w:val="24"/>
          <w:szCs w:val="21"/>
          <w:highlight w:val="none"/>
        </w:rPr>
        <w:t xml:space="preserve">为牵头单位（牵头单位必须为联合体成员）。</w:t>
      </w:r>
      <w:r>
        <w:rPr>
          <w:rFonts w:ascii="宋体" w:hAnsi="宋体"/>
          <w:color w:val="000000"/>
          <w:sz w:val="24"/>
          <w:highlight w:val="none"/>
        </w:rPr>
      </w:r>
      <w:r/>
    </w:p>
    <w:p>
      <w:pPr>
        <w:pStyle w:val="1023"/>
        <w:ind w:firstLine="645"/>
        <w:spacing w:line="560" w:lineRule="exact"/>
        <w:rPr>
          <w:rFonts w:ascii="Adobe 仿宋 Std R" w:hAnsi="Adobe 仿宋 Std R"/>
          <w:color w:val="000000"/>
          <w:sz w:val="24"/>
          <w:szCs w:val="21"/>
          <w:highlight w:val="none"/>
        </w:rPr>
      </w:pPr>
      <w:r>
        <w:rPr>
          <w:rFonts w:ascii="Adobe 仿宋 Std R" w:hAnsi="Adobe 仿宋 Std R"/>
          <w:color w:val="000000"/>
          <w:sz w:val="24"/>
          <w:szCs w:val="21"/>
          <w:highlight w:val="none"/>
        </w:rPr>
        <w:t xml:space="preserve">2</w:t>
      </w:r>
      <w:r>
        <w:rPr>
          <w:rFonts w:hint="eastAsia" w:ascii="Adobe 仿宋 Std R" w:hAnsi="Adobe 仿宋 Std R"/>
          <w:color w:val="000000"/>
          <w:sz w:val="24"/>
          <w:szCs w:val="21"/>
          <w:highlight w:val="none"/>
        </w:rPr>
        <w:t xml:space="preserve">、若我们联合中标、成交，（供应商单位</w:t>
      </w:r>
      <w:r>
        <w:rPr>
          <w:rFonts w:ascii="Adobe 仿宋 Std R" w:hAnsi="Adobe 仿宋 Std R"/>
          <w:color w:val="000000"/>
          <w:sz w:val="24"/>
          <w:szCs w:val="21"/>
          <w:highlight w:val="none"/>
        </w:rPr>
        <w:t xml:space="preserve">1</w:t>
      </w:r>
      <w:r>
        <w:rPr>
          <w:rFonts w:hint="eastAsia" w:ascii="Adobe 仿宋 Std R" w:hAnsi="Adobe 仿宋 Std R"/>
          <w:color w:val="000000"/>
          <w:sz w:val="24"/>
          <w:szCs w:val="21"/>
          <w:highlight w:val="none"/>
        </w:rPr>
        <w:t xml:space="preserve">全称）</w:t>
      </w:r>
      <w:r>
        <w:rPr>
          <w:rFonts w:hint="eastAsia" w:ascii="Adobe 仿宋 Std R" w:hAnsi="Adobe 仿宋 Std R"/>
          <w:color w:val="000000"/>
          <w:sz w:val="24"/>
          <w:szCs w:val="21"/>
          <w:highlight w:val="none"/>
          <w:u w:val="single"/>
          <w:lang w:val="en-US" w:eastAsia="zh-CN"/>
        </w:rPr>
        <w:t xml:space="preserve">                  </w:t>
      </w:r>
      <w:r>
        <w:rPr>
          <w:rFonts w:hint="eastAsia" w:ascii="Adobe 仿宋 Std R" w:hAnsi="Adobe 仿宋 Std R"/>
          <w:color w:val="000000"/>
          <w:sz w:val="24"/>
          <w:szCs w:val="21"/>
          <w:highlight w:val="none"/>
        </w:rPr>
        <w:t xml:space="preserve">实施项目中（工作内容）</w:t>
      </w:r>
      <w:r>
        <w:rPr>
          <w:rFonts w:hint="eastAsia" w:ascii="Adobe 仿宋 Std R" w:hAnsi="Adobe 仿宋 Std R"/>
          <w:color w:val="000000"/>
          <w:sz w:val="24"/>
          <w:szCs w:val="21"/>
          <w:highlight w:val="none"/>
          <w:u w:val="single"/>
          <w:lang w:val="en-US" w:eastAsia="zh-CN"/>
        </w:rPr>
        <w:t xml:space="preserve">                  </w:t>
      </w:r>
      <w:r>
        <w:rPr>
          <w:rFonts w:hint="eastAsia" w:ascii="Adobe 仿宋 Std R" w:hAnsi="Adobe 仿宋 Std R"/>
          <w:color w:val="000000"/>
          <w:sz w:val="24"/>
          <w:szCs w:val="21"/>
          <w:highlight w:val="none"/>
        </w:rPr>
        <w:t xml:space="preserve">部分工作，并承担相应的责任。（供应商单位</w:t>
      </w:r>
      <w:r>
        <w:rPr>
          <w:rFonts w:ascii="Adobe 仿宋 Std R" w:hAnsi="Adobe 仿宋 Std R"/>
          <w:color w:val="000000"/>
          <w:sz w:val="24"/>
          <w:szCs w:val="21"/>
          <w:highlight w:val="none"/>
        </w:rPr>
        <w:t xml:space="preserve">2</w:t>
      </w:r>
      <w:r>
        <w:rPr>
          <w:rFonts w:hint="eastAsia" w:ascii="Adobe 仿宋 Std R" w:hAnsi="Adobe 仿宋 Std R"/>
          <w:color w:val="000000"/>
          <w:sz w:val="24"/>
          <w:szCs w:val="21"/>
          <w:highlight w:val="none"/>
        </w:rPr>
        <w:t xml:space="preserve">全称）</w:t>
      </w:r>
      <w:r>
        <w:rPr>
          <w:rFonts w:hint="eastAsia" w:ascii="Adobe 仿宋 Std R" w:hAnsi="Adobe 仿宋 Std R"/>
          <w:color w:val="000000"/>
          <w:sz w:val="24"/>
          <w:szCs w:val="21"/>
          <w:highlight w:val="none"/>
          <w:u w:val="single"/>
          <w:lang w:val="en-US" w:eastAsia="zh-CN"/>
        </w:rPr>
        <w:t xml:space="preserve">           </w:t>
      </w:r>
      <w:r>
        <w:rPr>
          <w:rFonts w:hint="eastAsia" w:ascii="Adobe 仿宋 Std R" w:hAnsi="Adobe 仿宋 Std R"/>
          <w:color w:val="000000"/>
          <w:sz w:val="24"/>
          <w:szCs w:val="21"/>
          <w:highlight w:val="none"/>
        </w:rPr>
        <w:t xml:space="preserve">实施项目中（工作内容）</w:t>
      </w:r>
      <w:r>
        <w:rPr>
          <w:rFonts w:hint="eastAsia" w:ascii="Adobe 仿宋 Std R" w:hAnsi="Adobe 仿宋 Std R"/>
          <w:color w:val="000000"/>
          <w:sz w:val="24"/>
          <w:szCs w:val="21"/>
          <w:highlight w:val="none"/>
          <w:u w:val="single"/>
          <w:lang w:val="en-US" w:eastAsia="zh-CN"/>
        </w:rPr>
        <w:t xml:space="preserve">                 </w:t>
      </w:r>
      <w:r>
        <w:rPr>
          <w:rFonts w:hint="eastAsia" w:ascii="Adobe 仿宋 Std R" w:hAnsi="Adobe 仿宋 Std R"/>
          <w:color w:val="000000"/>
          <w:sz w:val="24"/>
          <w:szCs w:val="21"/>
          <w:highlight w:val="none"/>
        </w:rPr>
        <w:t xml:space="preserve">部分工作，并承担相应的责任……。（注：联合体中各供应商都应明示所承担的工作和相应的责任）。</w:t>
      </w:r>
      <w:r>
        <w:rPr>
          <w:rFonts w:ascii="Adobe 仿宋 Std R" w:hAnsi="Adobe 仿宋 Std R"/>
          <w:color w:val="000000"/>
          <w:sz w:val="24"/>
          <w:szCs w:val="21"/>
          <w:highlight w:val="none"/>
        </w:rPr>
      </w:r>
      <w:r/>
    </w:p>
    <w:p>
      <w:pPr>
        <w:pStyle w:val="1023"/>
        <w:ind w:firstLine="645"/>
        <w:spacing w:line="560" w:lineRule="exact"/>
        <w:rPr>
          <w:rFonts w:hint="eastAsia" w:ascii="Adobe 仿宋 Std R" w:hAnsi="Adobe 仿宋 Std R"/>
          <w:color w:val="000000"/>
          <w:sz w:val="24"/>
          <w:szCs w:val="21"/>
          <w:highlight w:val="none"/>
        </w:rPr>
      </w:pPr>
      <w:r>
        <w:rPr>
          <w:rFonts w:ascii="Adobe 仿宋 Std R" w:hAnsi="Adobe 仿宋 Std R"/>
          <w:color w:val="000000"/>
          <w:sz w:val="24"/>
          <w:szCs w:val="21"/>
          <w:highlight w:val="none"/>
        </w:rPr>
        <w:t xml:space="preserve">3</w:t>
      </w:r>
      <w:r>
        <w:rPr>
          <w:rFonts w:hint="eastAsia" w:ascii="Adobe 仿宋 Std R" w:hAnsi="Adobe 仿宋 Std R"/>
          <w:color w:val="000000"/>
          <w:sz w:val="24"/>
          <w:szCs w:val="21"/>
          <w:highlight w:val="none"/>
        </w:rPr>
        <w:t xml:space="preserve">、其中</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lang w:val="en-US" w:eastAsia="zh-CN"/>
        </w:rPr>
        <w:t xml:space="preserve">      </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（小型、微型企业/残疾人福利性单位/监狱企业全称）为</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lang w:val="en-US" w:eastAsia="zh-CN"/>
        </w:rPr>
        <w:t xml:space="preserve">    </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rPr>
        <w:t xml:space="preserve">（小型、微型企业/残疾人福利性单位/监狱企业）企业，且我们约定该公司/单位所承担的合同金额将占本项目合同总金额的</w:t>
      </w:r>
      <w:r>
        <w:rPr>
          <w:rFonts w:ascii="Adobe 仿宋 Std R" w:hAnsi="Adobe 仿宋 Std R"/>
          <w:color w:val="000000"/>
          <w:sz w:val="24"/>
          <w:szCs w:val="21"/>
          <w:highlight w:val="none"/>
          <w:u w:val="single"/>
        </w:rPr>
        <w:t xml:space="preserve">  </w:t>
      </w:r>
      <w:r>
        <w:rPr>
          <w:rFonts w:hint="eastAsia" w:ascii="Adobe 仿宋 Std R" w:hAnsi="Adobe 仿宋 Std R"/>
          <w:color w:val="000000"/>
          <w:sz w:val="24"/>
          <w:szCs w:val="21"/>
          <w:highlight w:val="none"/>
          <w:u w:val="single"/>
          <w:lang w:val="en-US" w:eastAsia="zh-CN"/>
        </w:rPr>
        <w:t xml:space="preserve">  </w:t>
      </w: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w:t>
      </w:r>
      <w:r>
        <w:rPr>
          <w:rFonts w:hint="eastAsia" w:ascii="Adobe 仿宋 Std R" w:hAnsi="Adobe 仿宋 Std R"/>
          <w:color w:val="000000"/>
          <w:sz w:val="24"/>
          <w:szCs w:val="21"/>
          <w:highlight w:val="none"/>
        </w:rPr>
      </w:r>
      <w:r/>
    </w:p>
    <w:p>
      <w:pPr>
        <w:pStyle w:val="1023"/>
        <w:ind w:firstLine="645"/>
        <w:spacing w:line="560" w:lineRule="exact"/>
        <w:rPr>
          <w:rFonts w:hint="eastAsia" w:ascii="Adobe 仿宋 Std R" w:hAnsi="Adobe 仿宋 Std R"/>
          <w:color w:val="000000"/>
          <w:sz w:val="24"/>
          <w:szCs w:val="21"/>
          <w:highlight w:val="none"/>
        </w:rPr>
      </w:pPr>
      <w:r>
        <w:rPr>
          <w:rFonts w:hint="eastAsia" w:ascii="Adobe 仿宋 Std R" w:hAnsi="Adobe 仿宋 Std R"/>
          <w:color w:val="000000"/>
          <w:sz w:val="24"/>
          <w:szCs w:val="21"/>
          <w:highlight w:val="none"/>
        </w:rPr>
      </w:r>
      <w:r/>
    </w:p>
    <w:p>
      <w:pPr>
        <w:pStyle w:val="1023"/>
        <w:ind w:firstLine="645"/>
        <w:spacing w:line="560" w:lineRule="exact"/>
        <w:rPr>
          <w:rFonts w:ascii="Adobe 仿宋 Std R" w:hAnsi="Adobe 仿宋 Std R"/>
          <w:color w:val="000000"/>
          <w:sz w:val="24"/>
          <w:szCs w:val="21"/>
          <w:highlight w:val="none"/>
        </w:rPr>
      </w:pPr>
      <w:r>
        <w:rPr>
          <w:rFonts w:hint="eastAsia" w:ascii="Adobe 仿宋 Std R" w:hAnsi="Adobe 仿宋 Std R"/>
          <w:color w:val="000000"/>
          <w:sz w:val="24"/>
          <w:szCs w:val="21"/>
          <w:highlight w:val="none"/>
        </w:rPr>
        <w:t xml:space="preserve">备注：本招标文件中要求加盖CA电子签章的地方，仅需加盖牵头单位的CA电子签章。</w:t>
      </w:r>
      <w:r>
        <w:rPr>
          <w:rFonts w:ascii="Adobe 仿宋 Std R" w:hAnsi="Adobe 仿宋 Std R"/>
          <w:color w:val="000000"/>
          <w:sz w:val="24"/>
          <w:szCs w:val="21"/>
          <w:highlight w:val="none"/>
        </w:rPr>
      </w:r>
      <w:r/>
    </w:p>
    <w:p>
      <w:pPr>
        <w:pStyle w:val="1023"/>
        <w:ind w:firstLine="645"/>
        <w:spacing w:line="560" w:lineRule="exact"/>
        <w:rPr>
          <w:rFonts w:hint="eastAsia" w:ascii="Adobe 仿宋 Std R" w:hAnsi="Adobe 仿宋 Std R"/>
          <w:color w:val="000000"/>
          <w:sz w:val="24"/>
          <w:szCs w:val="21"/>
          <w:highlight w:val="none"/>
        </w:rPr>
      </w:pP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r>
      <w:r/>
    </w:p>
    <w:p>
      <w:pPr>
        <w:pStyle w:val="1023"/>
        <w:ind w:firstLine="645"/>
        <w:jc w:val="right"/>
        <w:spacing w:line="560" w:lineRule="exact"/>
        <w:rPr>
          <w:rFonts w:ascii="Adobe 仿宋 Std R" w:hAnsi="Adobe 仿宋 Std R"/>
          <w:color w:val="000000"/>
          <w:sz w:val="24"/>
          <w:szCs w:val="21"/>
          <w:highlight w:val="none"/>
        </w:rPr>
      </w:pPr>
      <w:r>
        <w:rPr>
          <w:rFonts w:hint="eastAsia" w:ascii="Adobe 仿宋 Std R" w:hAnsi="Adobe 仿宋 Std R"/>
          <w:color w:val="000000"/>
          <w:sz w:val="24"/>
          <w:szCs w:val="21"/>
          <w:highlight w:val="none"/>
        </w:rPr>
        <w:t xml:space="preserve">联合体中各供应商全称（公章）：</w:t>
      </w:r>
      <w:r>
        <w:rPr>
          <w:rFonts w:ascii="Adobe 仿宋 Std R" w:hAnsi="Adobe 仿宋 Std R"/>
          <w:color w:val="000000"/>
          <w:sz w:val="24"/>
          <w:szCs w:val="21"/>
          <w:highlight w:val="none"/>
        </w:rPr>
        <w:t xml:space="preserve">     </w:t>
      </w:r>
      <w:r>
        <w:rPr>
          <w:rFonts w:ascii="Adobe 仿宋 Std R" w:hAnsi="Adobe 仿宋 Std R"/>
          <w:color w:val="000000"/>
          <w:sz w:val="24"/>
          <w:szCs w:val="21"/>
          <w:highlight w:val="none"/>
        </w:rPr>
      </w:r>
      <w:r/>
    </w:p>
    <w:p>
      <w:pPr>
        <w:pStyle w:val="1023"/>
        <w:ind w:firstLine="645"/>
        <w:spacing w:line="560" w:lineRule="exact"/>
        <w:rPr>
          <w:rFonts w:ascii="Adobe 仿宋 Std R" w:hAnsi="Adobe 仿宋 Std R"/>
          <w:color w:val="000000"/>
          <w:sz w:val="24"/>
          <w:szCs w:val="21"/>
          <w:highlight w:val="none"/>
        </w:rPr>
      </w:pPr>
      <w:r>
        <w:rPr>
          <w:rFonts w:ascii="Adobe 仿宋 Std R" w:hAnsi="Adobe 仿宋 Std R"/>
          <w:color w:val="000000"/>
          <w:sz w:val="24"/>
          <w:szCs w:val="21"/>
          <w:highlight w:val="none"/>
        </w:rPr>
        <w:t xml:space="preserve">                   </w:t>
      </w:r>
      <w:r>
        <w:rPr>
          <w:rFonts w:hint="eastAsia" w:ascii="Adobe 仿宋 Std R" w:hAnsi="Adobe 仿宋 Std R"/>
          <w:color w:val="000000"/>
          <w:sz w:val="24"/>
          <w:szCs w:val="21"/>
          <w:highlight w:val="none"/>
        </w:rPr>
        <w:t xml:space="preserve">                     日期：</w:t>
      </w:r>
      <w:r>
        <w:rPr>
          <w:rFonts w:ascii="Adobe 仿宋 Std R" w:hAnsi="Adobe 仿宋 Std R"/>
          <w:color w:val="000000"/>
          <w:sz w:val="24"/>
          <w:szCs w:val="21"/>
          <w:highlight w:val="none"/>
        </w:rPr>
      </w:r>
      <w:r/>
    </w:p>
    <w:p>
      <w:pPr>
        <w:pStyle w:val="1023"/>
        <w:ind w:firstLine="2168"/>
        <w:keepLines/>
        <w:keepNext/>
        <w:spacing w:after="240" w:line="360" w:lineRule="auto"/>
        <w:widowControl/>
        <w:rPr>
          <w:b/>
          <w:color w:val="000000"/>
          <w:spacing w:val="20"/>
          <w:sz w:val="32"/>
          <w:szCs w:val="32"/>
          <w:highlight w:val="none"/>
        </w:rPr>
        <w:outlineLvl w:val="0"/>
      </w:pPr>
      <w:r/>
      <w:bookmarkEnd w:id="296"/>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w:t>
      </w:r>
      <w:r>
        <w:rPr>
          <w:rFonts w:hint="eastAsia"/>
          <w:b/>
          <w:color w:val="000000"/>
          <w:spacing w:val="20"/>
          <w:sz w:val="32"/>
          <w:szCs w:val="32"/>
          <w:highlight w:val="none"/>
          <w:lang w:eastAsia="zh-CN"/>
        </w:rPr>
        <w:t xml:space="preserve">三</w:t>
      </w:r>
      <w:r>
        <w:rPr>
          <w:rFonts w:hint="eastAsia"/>
          <w:b/>
          <w:color w:val="000000"/>
          <w:spacing w:val="20"/>
          <w:sz w:val="32"/>
          <w:szCs w:val="32"/>
          <w:highlight w:val="none"/>
        </w:rPr>
        <w:t xml:space="preserve">、</w:t>
      </w:r>
      <w:r>
        <w:rPr>
          <w:rFonts w:hint="eastAsia"/>
          <w:b/>
          <w:color w:val="000000"/>
          <w:spacing w:val="20"/>
          <w:sz w:val="32"/>
          <w:szCs w:val="32"/>
          <w:highlight w:val="none"/>
          <w:lang w:eastAsia="zh-CN"/>
        </w:rPr>
        <w:t xml:space="preserve">投标函</w:t>
      </w:r>
      <w:r>
        <w:rPr>
          <w:b/>
          <w:color w:val="000000"/>
          <w:spacing w:val="20"/>
          <w:sz w:val="32"/>
          <w:szCs w:val="32"/>
          <w:highlight w:val="none"/>
        </w:rPr>
        <w:t xml:space="preserve">（实质性格式）</w:t>
      </w:r>
      <w:r>
        <w:rPr>
          <w:b/>
          <w:color w:val="000000"/>
          <w:spacing w:val="20"/>
          <w:sz w:val="32"/>
          <w:szCs w:val="32"/>
          <w:highlight w:val="none"/>
        </w:rPr>
      </w:r>
      <w:r/>
    </w:p>
    <w:p>
      <w:pPr>
        <w:pStyle w:val="1023"/>
        <w:jc w:val="left"/>
        <w:spacing w:line="400" w:lineRule="exact"/>
        <w:widowControl/>
        <w:rPr>
          <w:rFonts w:hint="eastAsia" w:ascii="宋体" w:hAnsi="宋体"/>
          <w:color w:val="000000"/>
          <w:sz w:val="24"/>
          <w:highlight w:val="none"/>
        </w:rPr>
      </w:pPr>
      <w:r/>
      <w:bookmarkStart w:id="297" w:name="_Hlk149916598"/>
      <w:r>
        <w:rPr>
          <w:rFonts w:hint="eastAsia" w:ascii="宋体" w:hAnsi="宋体"/>
          <w:color w:val="000000"/>
          <w:sz w:val="24"/>
          <w:highlight w:val="none"/>
        </w:rPr>
        <w:t xml:space="preserve">致：常州环宇工程项目管理有限公司：</w:t>
      </w:r>
      <w:r>
        <w:rPr>
          <w:rFonts w:hint="eastAsia" w:ascii="宋体" w:hAnsi="宋体"/>
          <w:color w:val="000000"/>
          <w:sz w:val="24"/>
          <w:highlight w:val="none"/>
        </w:rPr>
      </w:r>
      <w:r/>
    </w:p>
    <w:p>
      <w:pPr>
        <w:pStyle w:val="1023"/>
        <w:ind w:firstLine="480"/>
        <w:jc w:val="left"/>
        <w:spacing w:line="420" w:lineRule="exact"/>
        <w:rPr>
          <w:rFonts w:hint="eastAsia" w:ascii="宋体" w:hAnsi="宋体"/>
          <w:color w:val="000000"/>
          <w:sz w:val="24"/>
          <w:szCs w:val="21"/>
          <w:highlight w:val="none"/>
        </w:rPr>
      </w:pPr>
      <w:r/>
      <w:bookmarkStart w:id="298" w:name="_Hlk156651493"/>
      <w:r>
        <w:rPr>
          <w:rFonts w:hint="eastAsia" w:ascii="宋体" w:hAnsi="宋体"/>
          <w:color w:val="000000"/>
          <w:sz w:val="24"/>
          <w:szCs w:val="21"/>
          <w:highlight w:val="none"/>
        </w:rPr>
        <w:t xml:space="preserve">根据贵方的</w:t>
      </w:r>
      <w:r>
        <w:rPr>
          <w:rFonts w:ascii="宋体" w:hAnsi="宋体"/>
          <w:color w:val="000000"/>
          <w:sz w:val="24"/>
          <w:szCs w:val="21"/>
          <w:highlight w:val="none"/>
          <w:u w:val="single"/>
        </w:rPr>
        <w:t xml:space="preserve"> </w:t>
      </w:r>
      <w:r>
        <w:rPr>
          <w:rFonts w:hint="eastAsia" w:ascii="宋体" w:hAnsi="宋体"/>
          <w:b/>
          <w:color w:val="000000"/>
          <w:sz w:val="36"/>
          <w:highlight w:val="none"/>
          <w:u w:val="single"/>
        </w:rPr>
        <w:t xml:space="preserve"> </w:t>
      </w:r>
      <w:r>
        <w:rPr>
          <w:rFonts w:ascii="宋体" w:hAnsi="宋体"/>
          <w:b/>
          <w:color w:val="000000"/>
          <w:sz w:val="36"/>
          <w:highlight w:val="none"/>
          <w:u w:val="single"/>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w:t>
      </w:r>
      <w:r>
        <w:rPr>
          <w:rFonts w:hint="eastAsia" w:ascii="宋体" w:hAnsi="宋体"/>
          <w:color w:val="000000"/>
          <w:sz w:val="24"/>
          <w:szCs w:val="21"/>
          <w:highlight w:val="none"/>
          <w:lang w:eastAsia="zh-CN"/>
        </w:rPr>
        <w:t xml:space="preserve">招标</w:t>
      </w:r>
      <w:r>
        <w:rPr>
          <w:rFonts w:hint="eastAsia" w:ascii="宋体" w:hAnsi="宋体"/>
          <w:color w:val="000000"/>
          <w:sz w:val="24"/>
          <w:szCs w:val="21"/>
          <w:highlight w:val="none"/>
        </w:rPr>
        <w:t xml:space="preserve">文件，正式授权下述签字人______(姓名)代表我方______________（供应商的名称），全权处理本次项目</w:t>
      </w:r>
      <w:r>
        <w:rPr>
          <w:rFonts w:hint="eastAsia" w:ascii="宋体" w:hAnsi="宋体"/>
          <w:color w:val="000000"/>
          <w:sz w:val="24"/>
          <w:szCs w:val="21"/>
          <w:highlight w:val="none"/>
          <w:lang w:eastAsia="zh-CN"/>
        </w:rPr>
        <w:t xml:space="preserve">投标</w:t>
      </w:r>
      <w:r>
        <w:rPr>
          <w:rFonts w:hint="eastAsia" w:ascii="宋体" w:hAnsi="宋体"/>
          <w:color w:val="000000"/>
          <w:sz w:val="24"/>
          <w:szCs w:val="21"/>
          <w:highlight w:val="none"/>
        </w:rPr>
        <w:t xml:space="preserve">的有关事宜。</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bookmarkEnd w:id="298"/>
      <w:r>
        <w:rPr>
          <w:rFonts w:hint="eastAsia" w:ascii="宋体" w:hAnsi="宋体"/>
          <w:color w:val="000000"/>
          <w:sz w:val="24"/>
          <w:szCs w:val="21"/>
          <w:highlight w:val="none"/>
        </w:rPr>
        <w:t xml:space="preserve">据此函，</w:t>
      </w:r>
      <w:r>
        <w:rPr>
          <w:rFonts w:hint="eastAsia" w:ascii="宋体" w:hAnsi="宋体"/>
          <w:color w:val="000000"/>
          <w:sz w:val="24"/>
          <w:szCs w:val="21"/>
          <w:highlight w:val="none"/>
        </w:rPr>
        <w:t xml:space="preserve">我公司兹宣布同意如下：</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w:t>
      </w:r>
      <w:r>
        <w:rPr>
          <w:rFonts w:hint="eastAsia" w:ascii="宋体" w:hAnsi="宋体"/>
          <w:color w:val="000000"/>
          <w:sz w:val="24"/>
          <w:szCs w:val="21"/>
          <w:highlight w:val="none"/>
          <w:lang w:eastAsia="zh-CN"/>
        </w:rPr>
        <w:t xml:space="preserve">招标</w:t>
      </w:r>
      <w:r>
        <w:rPr>
          <w:rFonts w:hint="eastAsia" w:ascii="宋体" w:hAnsi="宋体"/>
          <w:color w:val="000000"/>
          <w:sz w:val="24"/>
          <w:szCs w:val="21"/>
          <w:highlight w:val="none"/>
        </w:rPr>
        <w:t xml:space="preserve">文件规定的各项要求，向买方提供所需货物、服务（包含与货物相关的服务及与服务相关的货物）。</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w:t>
      </w:r>
      <w:r>
        <w:rPr>
          <w:rFonts w:hint="eastAsia" w:ascii="宋体" w:hAnsi="宋体"/>
          <w:color w:val="000000"/>
          <w:sz w:val="24"/>
          <w:szCs w:val="21"/>
          <w:highlight w:val="none"/>
          <w:lang w:eastAsia="zh-CN"/>
        </w:rPr>
        <w:t xml:space="preserve">招标</w:t>
      </w:r>
      <w:r>
        <w:rPr>
          <w:rFonts w:hint="eastAsia" w:ascii="宋体" w:hAnsi="宋体"/>
          <w:color w:val="000000"/>
          <w:sz w:val="24"/>
          <w:szCs w:val="21"/>
          <w:highlight w:val="none"/>
        </w:rPr>
        <w:t xml:space="preserve">文件及其有效补充文件，我们知道必须放弃提出含糊不清或误解问题的权利。</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w:t>
      </w:r>
      <w:r>
        <w:rPr>
          <w:rFonts w:hint="eastAsia" w:ascii="宋体" w:hAnsi="宋体"/>
          <w:color w:val="000000"/>
          <w:sz w:val="24"/>
          <w:szCs w:val="21"/>
          <w:highlight w:val="none"/>
          <w:lang w:eastAsia="zh-CN"/>
        </w:rPr>
        <w:t xml:space="preserve">投标</w:t>
      </w:r>
      <w:r>
        <w:rPr>
          <w:rFonts w:hint="eastAsia" w:ascii="宋体" w:hAnsi="宋体"/>
          <w:color w:val="000000"/>
          <w:sz w:val="24"/>
          <w:szCs w:val="21"/>
          <w:highlight w:val="none"/>
        </w:rPr>
        <w:t xml:space="preserve">有效期期满之前均具有约束力。</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w:t>
      </w:r>
      <w:r>
        <w:rPr>
          <w:rFonts w:hint="eastAsia" w:ascii="宋体" w:hAnsi="宋体"/>
          <w:color w:val="000000"/>
          <w:sz w:val="24"/>
          <w:szCs w:val="21"/>
          <w:highlight w:val="none"/>
          <w:lang w:eastAsia="zh-CN"/>
        </w:rPr>
        <w:t xml:space="preserve">投标</w:t>
      </w:r>
      <w:r>
        <w:rPr>
          <w:rFonts w:hint="eastAsia" w:ascii="宋体" w:hAnsi="宋体"/>
          <w:color w:val="000000"/>
          <w:sz w:val="24"/>
          <w:szCs w:val="21"/>
          <w:highlight w:val="none"/>
        </w:rPr>
        <w:t xml:space="preserve">有关的任何证据或资料，并保证我方已提供和将要提供的文件是真实的、准确的。</w:t>
      </w:r>
      <w:r>
        <w:rPr>
          <w:rFonts w:hint="eastAsia" w:ascii="宋体" w:hAnsi="宋体"/>
          <w:color w:val="000000"/>
          <w:sz w:val="24"/>
          <w:szCs w:val="21"/>
          <w:highlight w:val="none"/>
        </w:rPr>
      </w:r>
      <w:r/>
    </w:p>
    <w:p>
      <w:pPr>
        <w:pStyle w:val="1023"/>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w:t>
      </w:r>
      <w:r>
        <w:rPr>
          <w:rFonts w:hint="eastAsia" w:ascii="宋体" w:hAnsi="宋体"/>
          <w:color w:val="000000"/>
          <w:sz w:val="24"/>
          <w:szCs w:val="21"/>
          <w:highlight w:val="none"/>
          <w:lang w:eastAsia="zh-CN"/>
        </w:rPr>
        <w:t xml:space="preserve">招标</w:t>
      </w:r>
      <w:r>
        <w:rPr>
          <w:rFonts w:hint="eastAsia" w:ascii="宋体" w:hAnsi="宋体"/>
          <w:color w:val="000000"/>
          <w:sz w:val="24"/>
          <w:szCs w:val="21"/>
          <w:highlight w:val="none"/>
        </w:rPr>
        <w:t xml:space="preserve">文件的规定，严格履行合同的责任和义务,并保证在</w:t>
      </w:r>
      <w:r>
        <w:rPr>
          <w:rFonts w:hint="eastAsia" w:ascii="宋体" w:hAnsi="宋体"/>
          <w:color w:val="000000"/>
          <w:sz w:val="24"/>
          <w:szCs w:val="21"/>
          <w:highlight w:val="none"/>
          <w:lang w:eastAsia="zh-CN"/>
        </w:rPr>
        <w:t xml:space="preserve">招标</w:t>
      </w:r>
      <w:r>
        <w:rPr>
          <w:rFonts w:hint="eastAsia" w:ascii="宋体" w:hAnsi="宋体"/>
          <w:color w:val="000000"/>
          <w:sz w:val="24"/>
          <w:szCs w:val="21"/>
          <w:highlight w:val="none"/>
        </w:rPr>
        <w:t xml:space="preserve">文件规定的时间完成项目，交付买方验收、使用。</w:t>
      </w:r>
      <w:r>
        <w:rPr>
          <w:rFonts w:hint="eastAsia" w:ascii="宋体" w:hAnsi="宋体"/>
          <w:color w:val="000000"/>
          <w:sz w:val="24"/>
          <w:szCs w:val="21"/>
          <w:highlight w:val="none"/>
        </w:rPr>
      </w:r>
      <w:r/>
    </w:p>
    <w:p>
      <w:pPr>
        <w:pStyle w:val="1023"/>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w:t>
      </w:r>
      <w:r>
        <w:rPr>
          <w:rFonts w:hint="eastAsia" w:ascii="宋体" w:hAnsi="宋体"/>
          <w:color w:val="000000"/>
          <w:sz w:val="24"/>
          <w:szCs w:val="21"/>
          <w:highlight w:val="none"/>
          <w:lang w:eastAsia="zh-CN"/>
        </w:rPr>
        <w:t xml:space="preserve">投标</w:t>
      </w:r>
      <w:r>
        <w:rPr>
          <w:rFonts w:hint="eastAsia" w:ascii="宋体" w:hAnsi="宋体"/>
          <w:color w:val="000000"/>
          <w:sz w:val="24"/>
          <w:szCs w:val="21"/>
          <w:highlight w:val="none"/>
        </w:rPr>
        <w:t xml:space="preserve">有关的正式通讯地址为：</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bookmarkStart w:id="299" w:name="_Hlk149920288"/>
      <w:r>
        <w:rPr>
          <w:rFonts w:hint="eastAsia" w:ascii="宋体" w:hAnsi="宋体"/>
          <w:color w:val="000000"/>
          <w:sz w:val="24"/>
          <w:szCs w:val="21"/>
          <w:highlight w:val="none"/>
        </w:rPr>
        <w:t xml:space="preserve">地          址：</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rPr>
          <w:rFonts w:hint="eastAsia" w:ascii="宋体" w:hAnsi="宋体"/>
          <w:color w:val="000000"/>
          <w:sz w:val="24"/>
          <w:szCs w:val="21"/>
          <w:highlight w:val="none"/>
        </w:rPr>
      </w:r>
      <w:r/>
    </w:p>
    <w:p>
      <w:pPr>
        <w:pStyle w:val="1023"/>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rPr>
          <w:rFonts w:hint="eastAsia" w:ascii="宋体" w:hAnsi="宋体"/>
          <w:color w:val="000000"/>
          <w:sz w:val="24"/>
          <w:szCs w:val="21"/>
          <w:highlight w:val="none"/>
        </w:rPr>
      </w:r>
      <w:r/>
    </w:p>
    <w:p>
      <w:pPr>
        <w:pStyle w:val="1023"/>
        <w:ind w:left="420" w:firstLine="420"/>
        <w:jc w:val="left"/>
        <w:spacing w:line="420" w:lineRule="exact"/>
        <w:rPr>
          <w:rFonts w:hint="eastAsia" w:ascii="宋体" w:hAnsi="宋体"/>
          <w:bCs/>
          <w:color w:val="000000"/>
          <w:highlight w:val="none"/>
        </w:rPr>
      </w:pPr>
      <w:r>
        <w:rPr>
          <w:rFonts w:hint="eastAsia" w:ascii="宋体" w:hAnsi="宋体"/>
          <w:bCs/>
          <w:color w:val="000000"/>
          <w:highlight w:val="none"/>
        </w:rPr>
      </w:r>
      <w:r/>
    </w:p>
    <w:p>
      <w:pPr>
        <w:pStyle w:val="1023"/>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rPr>
          <w:rFonts w:hint="eastAsia" w:ascii="宋体" w:hAnsi="宋体"/>
          <w:color w:val="000000"/>
          <w:sz w:val="24"/>
          <w:szCs w:val="21"/>
          <w:highlight w:val="none"/>
        </w:rPr>
      </w:r>
      <w:r/>
    </w:p>
    <w:p>
      <w:pPr>
        <w:pStyle w:val="1023"/>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r>
        <w:rPr>
          <w:rFonts w:hint="eastAsia" w:ascii="宋体" w:hAnsi="宋体"/>
          <w:color w:val="000000"/>
          <w:sz w:val="24"/>
          <w:szCs w:val="21"/>
          <w:highlight w:val="none"/>
        </w:rPr>
      </w:r>
      <w:r/>
    </w:p>
    <w:p>
      <w:pPr>
        <w:pStyle w:val="1023"/>
        <w:rPr>
          <w:rFonts w:hint="eastAsia" w:ascii="宋体" w:hAnsi="宋体" w:cs="宋体"/>
          <w:b/>
          <w:color w:val="000000"/>
          <w:sz w:val="28"/>
          <w:szCs w:val="28"/>
          <w:highlight w:val="none"/>
        </w:rPr>
      </w:pPr>
      <w:r/>
      <w:bookmarkEnd w:id="297"/>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bookmarkEnd w:id="299"/>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jc w:val="center"/>
        <w:rPr>
          <w:b/>
          <w:color w:val="000000"/>
          <w:spacing w:val="20"/>
          <w:sz w:val="32"/>
          <w:szCs w:val="32"/>
          <w:highlight w:val="none"/>
        </w:rPr>
      </w:pPr>
      <w:r/>
      <w:bookmarkStart w:id="300" w:name="_Hlk154065357"/>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w:t>
      </w:r>
      <w:r>
        <w:rPr>
          <w:rFonts w:hint="eastAsia"/>
          <w:b/>
          <w:color w:val="000000"/>
          <w:spacing w:val="20"/>
          <w:sz w:val="32"/>
          <w:szCs w:val="32"/>
          <w:highlight w:val="none"/>
          <w:lang w:eastAsia="zh-CN"/>
        </w:rPr>
        <w:t xml:space="preserve">四</w:t>
      </w:r>
      <w:r>
        <w:rPr>
          <w:rFonts w:hint="eastAsia"/>
          <w:b/>
          <w:color w:val="000000"/>
          <w:spacing w:val="20"/>
          <w:sz w:val="32"/>
          <w:szCs w:val="32"/>
          <w:highlight w:val="none"/>
        </w:rPr>
        <w:t xml:space="preserve">、技术偏离表</w:t>
      </w:r>
      <w:r>
        <w:rPr>
          <w:b/>
          <w:color w:val="000000"/>
          <w:spacing w:val="20"/>
          <w:sz w:val="32"/>
          <w:szCs w:val="32"/>
          <w:highlight w:val="none"/>
        </w:rPr>
        <w:t xml:space="preserve">（实质性格式）</w:t>
      </w:r>
      <w:r>
        <w:rPr>
          <w:b/>
          <w:color w:val="000000"/>
          <w:spacing w:val="20"/>
          <w:sz w:val="32"/>
          <w:szCs w:val="32"/>
          <w:highlight w:val="none"/>
        </w:rPr>
      </w:r>
      <w:r/>
    </w:p>
    <w:p>
      <w:pPr>
        <w:pStyle w:val="1023"/>
        <w:jc w:val="center"/>
        <w:rPr>
          <w:color w:val="000000"/>
          <w:sz w:val="36"/>
          <w:szCs w:val="36"/>
          <w:highlight w:val="none"/>
        </w:rPr>
      </w:pPr>
      <w:r>
        <w:rPr>
          <w:color w:val="000000"/>
          <w:sz w:val="36"/>
          <w:szCs w:val="36"/>
          <w:highlight w:val="none"/>
        </w:rPr>
      </w:r>
      <w:r/>
    </w:p>
    <w:p>
      <w:pPr>
        <w:pStyle w:val="102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23"/>
              <w:rPr>
                <w:b/>
                <w:bCs/>
                <w:color w:val="000000"/>
                <w:sz w:val="24"/>
                <w:highlight w:val="none"/>
              </w:rPr>
            </w:pPr>
            <w:r>
              <w:rPr>
                <w:rFonts w:hint="eastAsia"/>
                <w:b/>
                <w:bCs/>
                <w:color w:val="000000"/>
                <w:sz w:val="24"/>
                <w:highlight w:val="none"/>
              </w:rPr>
              <w:t xml:space="preserve">对本项目采购文件要求的偏离情况</w:t>
            </w:r>
            <w:r>
              <w:rPr>
                <w:b/>
                <w:bCs/>
                <w:color w:val="000000"/>
                <w:sz w:val="24"/>
                <w:highlight w:val="none"/>
              </w:rPr>
              <w:t xml:space="preserve">(</w:t>
            </w:r>
            <w:r>
              <w:rPr>
                <w:rFonts w:hint="eastAsia"/>
                <w:b/>
                <w:bCs/>
                <w:color w:val="000000"/>
                <w:sz w:val="24"/>
                <w:highlight w:val="none"/>
              </w:rPr>
              <w:t xml:space="preserve">请进行勾选</w:t>
            </w:r>
            <w:r>
              <w:rPr>
                <w:b/>
                <w:bCs/>
                <w:color w:val="000000"/>
                <w:sz w:val="24"/>
                <w:highlight w:val="none"/>
              </w:rPr>
              <w:t xml:space="preserve">)</w:t>
            </w:r>
            <w:r>
              <w:rPr>
                <w:rFonts w:hint="eastAsia"/>
                <w:b/>
                <w:bCs/>
                <w:color w:val="000000"/>
                <w:sz w:val="24"/>
                <w:highlight w:val="none"/>
              </w:rPr>
              <w:t xml:space="preserve">：</w:t>
            </w:r>
            <w:r>
              <w:rPr>
                <w:b/>
                <w:bCs/>
                <w:color w:val="000000"/>
                <w:sz w:val="24"/>
                <w:highlight w:val="none"/>
              </w:rPr>
            </w:r>
            <w:r/>
          </w:p>
          <w:p>
            <w:pPr>
              <w:pStyle w:val="1023"/>
              <w:rPr>
                <w:color w:val="000000"/>
                <w:sz w:val="24"/>
                <w:highlight w:val="none"/>
              </w:rPr>
            </w:pPr>
            <w:r>
              <w:rPr>
                <w:rFonts w:hint="eastAsia"/>
                <w:color w:val="000000"/>
                <w:sz w:val="24"/>
                <w:highlight w:val="none"/>
              </w:rPr>
              <w:t xml:space="preserve">□无偏离（如无偏离，仅勾选无偏离即可）</w:t>
            </w:r>
            <w:r>
              <w:rPr>
                <w:color w:val="000000"/>
                <w:sz w:val="24"/>
                <w:highlight w:val="none"/>
              </w:rPr>
            </w:r>
            <w:r/>
          </w:p>
          <w:p>
            <w:pPr>
              <w:pStyle w:val="1023"/>
              <w:rPr>
                <w:color w:val="000000"/>
                <w:sz w:val="24"/>
                <w:highlight w:val="none"/>
              </w:rPr>
            </w:pPr>
            <w:r>
              <w:rPr>
                <w:rFonts w:hint="eastAsia"/>
                <w:color w:val="000000"/>
                <w:sz w:val="24"/>
                <w:highlight w:val="none"/>
              </w:rPr>
              <w:t xml:space="preserve">□有偏离（如有偏离，则应在本表中对</w:t>
            </w:r>
            <w:r>
              <w:rPr>
                <w:rFonts w:hint="eastAsia"/>
                <w:b/>
                <w:bCs/>
                <w:color w:val="000000"/>
                <w:sz w:val="24"/>
                <w:highlight w:val="none"/>
              </w:rPr>
              <w:t xml:space="preserve">偏离项</w:t>
            </w:r>
            <w:r>
              <w:rPr>
                <w:rFonts w:hint="eastAsia"/>
                <w:color w:val="000000"/>
                <w:sz w:val="24"/>
                <w:highlight w:val="none"/>
              </w:rPr>
              <w:t xml:space="preserve">逐一罗列）</w:t>
            </w:r>
            <w:r>
              <w:rPr>
                <w:color w:val="000000"/>
                <w:sz w:val="24"/>
                <w:highlight w:val="none"/>
              </w:rPr>
            </w:r>
            <w:r/>
          </w:p>
        </w:tc>
      </w:tr>
      <w:tr>
        <w:trPr>
          <w:trHeight w:val="1053"/>
        </w:trPr>
        <w:tc>
          <w:tcPr>
            <w:tcW w:w="775" w:type="dxa"/>
            <w:vAlign w:val="center"/>
            <w:textDirection w:val="lrTb"/>
            <w:noWrap w:val="false"/>
          </w:tcPr>
          <w:p>
            <w:pPr>
              <w:pStyle w:val="102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rFonts w:hint="eastAsia"/>
                <w:color w:val="000000"/>
                <w:sz w:val="24"/>
                <w:highlight w:val="none"/>
              </w:rPr>
              <w:t xml:space="preserve">招标</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t xml:space="preserve">偏离情况</w:t>
            </w:r>
            <w:r>
              <w:rPr>
                <w:color w:val="000000"/>
                <w:sz w:val="24"/>
                <w:highlight w:val="none"/>
              </w:rPr>
            </w:r>
            <w:r/>
          </w:p>
          <w:p>
            <w:pPr>
              <w:pStyle w:val="102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bl>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1.对招标文件中的所有技术参数要求，除本表所列明的所有偏离外，均视作投标人已对之理解和响应。</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2.“偏离情况”列应据实填写“正偏离”或“负偏离”。</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3.若以联合体投标，由联合体牵头人盖章。</w:t>
      </w:r>
      <w:r>
        <w:rPr>
          <w:rFonts w:hint="eastAsia" w:ascii="Times New Roman" w:hAnsi="Times New Roman" w:eastAsia="宋体" w:cs="Times New Roman"/>
          <w:color w:val="000000"/>
          <w:sz w:val="24"/>
          <w:highlight w:val="none"/>
          <w:lang w:val="en-US" w:eastAsia="zh-CN"/>
        </w:rPr>
      </w:r>
      <w:r/>
    </w:p>
    <w:p>
      <w:pPr>
        <w:pStyle w:val="1294"/>
        <w:rPr>
          <w:color w:val="000000"/>
          <w:highlight w:val="none"/>
        </w:rPr>
      </w:pPr>
      <w:r>
        <w:rPr>
          <w:color w:val="000000"/>
          <w:highlight w:val="none"/>
        </w:rPr>
      </w:r>
      <w:r/>
    </w:p>
    <w:p>
      <w:pPr>
        <w:pStyle w:val="102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1023"/>
        <w:ind w:firstLine="480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23"/>
        <w:jc w:val="center"/>
        <w:spacing w:line="400" w:lineRule="exact"/>
        <w:rPr>
          <w:b/>
          <w:bCs/>
          <w:color w:val="000000"/>
          <w:sz w:val="32"/>
          <w:szCs w:val="32"/>
          <w:highlight w:val="none"/>
        </w:rPr>
        <w:outlineLvl w:val="1"/>
      </w:pPr>
      <w:r>
        <w:rPr>
          <w:rFonts w:hint="eastAsia"/>
          <w:b/>
          <w:color w:val="000000"/>
          <w:spacing w:val="20"/>
          <w:sz w:val="32"/>
          <w:szCs w:val="32"/>
          <w:highlight w:val="none"/>
        </w:rPr>
        <w:br w:type="page" w:clear="all"/>
      </w:r>
      <w:r>
        <w:rPr>
          <w:rFonts w:hint="eastAsia"/>
          <w:b/>
          <w:bCs/>
          <w:color w:val="000000"/>
          <w:sz w:val="32"/>
          <w:szCs w:val="32"/>
          <w:highlight w:val="none"/>
        </w:rPr>
        <w:t xml:space="preserve">十</w:t>
      </w:r>
      <w:r>
        <w:rPr>
          <w:rFonts w:hint="eastAsia"/>
          <w:b/>
          <w:bCs/>
          <w:color w:val="000000"/>
          <w:sz w:val="32"/>
          <w:szCs w:val="32"/>
          <w:highlight w:val="none"/>
          <w:lang w:eastAsia="zh-CN"/>
        </w:rPr>
        <w:t xml:space="preserve">五</w:t>
      </w:r>
      <w:r>
        <w:rPr>
          <w:rFonts w:hint="eastAsia"/>
          <w:b/>
          <w:bCs/>
          <w:color w:val="000000"/>
          <w:sz w:val="32"/>
          <w:szCs w:val="32"/>
          <w:highlight w:val="none"/>
        </w:rPr>
        <w:t xml:space="preserve">、合同条款偏离表</w:t>
      </w:r>
      <w:r>
        <w:rPr>
          <w:b/>
          <w:bCs/>
          <w:color w:val="000000"/>
          <w:sz w:val="32"/>
          <w:szCs w:val="32"/>
          <w:highlight w:val="none"/>
        </w:rPr>
        <w:t xml:space="preserve">（实质性格式）</w:t>
      </w:r>
      <w:r>
        <w:rPr>
          <w:b/>
          <w:bCs/>
          <w:color w:val="000000"/>
          <w:sz w:val="32"/>
          <w:szCs w:val="32"/>
          <w:highlight w:val="none"/>
        </w:rPr>
      </w:r>
      <w:r/>
    </w:p>
    <w:p>
      <w:pPr>
        <w:pStyle w:val="1023"/>
        <w:spacing w:line="360" w:lineRule="auto"/>
        <w:rPr>
          <w:color w:val="000000"/>
          <w:sz w:val="24"/>
          <w:szCs w:val="20"/>
          <w:highlight w:val="none"/>
        </w:rPr>
      </w:pPr>
      <w:r>
        <w:rPr>
          <w:color w:val="000000"/>
          <w:sz w:val="24"/>
          <w:szCs w:val="20"/>
          <w:highlight w:val="none"/>
        </w:rPr>
      </w:r>
      <w:r/>
    </w:p>
    <w:p>
      <w:pPr>
        <w:pStyle w:val="1023"/>
        <w:ind w:firstLine="360"/>
        <w:jc w:val="left"/>
        <w:spacing w:line="360" w:lineRule="auto"/>
        <w:tabs>
          <w:tab w:val="left" w:pos="1800" w:leader="none"/>
          <w:tab w:val="left" w:pos="5580" w:leader="none"/>
        </w:tabs>
        <w:rPr>
          <w:color w:val="000000"/>
          <w:sz w:val="24"/>
          <w:highlight w:val="none"/>
        </w:rPr>
      </w:pPr>
      <w:r>
        <w:rPr>
          <w:rFonts w:hint="eastAsia"/>
          <w:color w:val="000000"/>
          <w:sz w:val="24"/>
          <w:highlight w:val="none"/>
        </w:rPr>
        <w:t xml:space="preserve">项目编号：</w:t>
      </w:r>
      <w:r>
        <w:rPr>
          <w:color w:val="000000"/>
          <w:sz w:val="24"/>
          <w:highlight w:val="none"/>
        </w:rPr>
        <w:t xml:space="preserve">_______________     项目名称：_____________________</w:t>
      </w:r>
      <w:r>
        <w:rPr>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427"/>
        <w:gridCol w:w="782"/>
      </w:tblGrid>
      <w:tr>
        <w:trPr>
          <w:trHeight w:val="930"/>
        </w:trPr>
        <w:tc>
          <w:tcPr>
            <w:gridSpan w:val="6"/>
            <w:tcW w:w="9287" w:type="dxa"/>
            <w:vAlign w:val="center"/>
            <w:textDirection w:val="lrTb"/>
            <w:noWrap w:val="false"/>
          </w:tcPr>
          <w:p>
            <w:pPr>
              <w:pStyle w:val="1023"/>
              <w:jc w:val="left"/>
              <w:rPr>
                <w:b/>
                <w:color w:val="000000"/>
                <w:sz w:val="24"/>
                <w:highlight w:val="none"/>
              </w:rPr>
            </w:pPr>
            <w:r>
              <w:rPr>
                <w:rFonts w:hint="eastAsia"/>
                <w:b/>
                <w:color w:val="000000"/>
                <w:sz w:val="24"/>
                <w:highlight w:val="none"/>
              </w:rPr>
              <w:t xml:space="preserve">对本项目合同条款的偏离情况（请进行勾选）：</w:t>
            </w:r>
            <w:r>
              <w:rPr>
                <w:b/>
                <w:color w:val="000000"/>
                <w:sz w:val="24"/>
                <w:highlight w:val="none"/>
              </w:rPr>
            </w:r>
            <w:r/>
          </w:p>
          <w:p>
            <w:pPr>
              <w:pStyle w:val="1023"/>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1023"/>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930"/>
        </w:trPr>
        <w:tc>
          <w:tcPr>
            <w:tcW w:w="834" w:type="dxa"/>
            <w:vAlign w:val="center"/>
            <w:textDirection w:val="lrTb"/>
            <w:noWrap w:val="false"/>
          </w:tcPr>
          <w:p>
            <w:pPr>
              <w:pStyle w:val="1023"/>
              <w:jc w:val="center"/>
              <w:rPr>
                <w:color w:val="000000"/>
                <w:sz w:val="24"/>
                <w:highlight w:val="none"/>
              </w:rPr>
            </w:pPr>
            <w:r>
              <w:rPr>
                <w:color w:val="000000"/>
                <w:sz w:val="24"/>
                <w:highlight w:val="none"/>
              </w:rPr>
              <w:t xml:space="preserve">序号</w:t>
            </w:r>
            <w:r>
              <w:rPr>
                <w:color w:val="000000"/>
                <w:sz w:val="24"/>
                <w:highlight w:val="none"/>
              </w:rPr>
            </w:r>
            <w:r/>
          </w:p>
        </w:tc>
        <w:tc>
          <w:tcPr>
            <w:tcW w:w="1301" w:type="dxa"/>
            <w:vAlign w:val="center"/>
            <w:textDirection w:val="lrTb"/>
            <w:noWrap w:val="false"/>
          </w:tcPr>
          <w:p>
            <w:pPr>
              <w:pStyle w:val="1023"/>
              <w:jc w:val="center"/>
              <w:rPr>
                <w:color w:val="000000"/>
                <w:sz w:val="24"/>
                <w:highlight w:val="none"/>
              </w:rPr>
            </w:pPr>
            <w:r>
              <w:rPr>
                <w:rFonts w:hint="eastAsia"/>
                <w:color w:val="000000"/>
                <w:sz w:val="24"/>
                <w:szCs w:val="21"/>
                <w:highlight w:val="none"/>
              </w:rPr>
              <w:t xml:space="preserve">采购</w:t>
            </w:r>
            <w:r>
              <w:rPr>
                <w:color w:val="000000"/>
                <w:sz w:val="24"/>
                <w:szCs w:val="21"/>
                <w:highlight w:val="none"/>
              </w:rPr>
              <w:t xml:space="preserve">文件</w:t>
            </w:r>
            <w:r>
              <w:rPr>
                <w:color w:val="000000"/>
                <w:sz w:val="24"/>
                <w:highlight w:val="none"/>
              </w:rPr>
              <w:t xml:space="preserve">条目号（页码）</w:t>
            </w:r>
            <w:r>
              <w:rPr>
                <w:color w:val="000000"/>
                <w:sz w:val="24"/>
                <w:highlight w:val="none"/>
              </w:rPr>
            </w:r>
            <w:r/>
          </w:p>
        </w:tc>
        <w:tc>
          <w:tcPr>
            <w:tcW w:w="2007" w:type="dxa"/>
            <w:vAlign w:val="center"/>
            <w:textDirection w:val="lrTb"/>
            <w:noWrap w:val="false"/>
          </w:tcPr>
          <w:p>
            <w:pPr>
              <w:pStyle w:val="1023"/>
              <w:jc w:val="center"/>
              <w:rPr>
                <w:color w:val="000000"/>
                <w:sz w:val="24"/>
                <w:highlight w:val="none"/>
              </w:rPr>
            </w:pPr>
            <w:r>
              <w:rPr>
                <w:rFonts w:hint="eastAsia"/>
                <w:color w:val="000000"/>
                <w:sz w:val="24"/>
                <w:szCs w:val="21"/>
                <w:highlight w:val="none"/>
              </w:rPr>
              <w:t xml:space="preserve">采购</w:t>
            </w:r>
            <w:r>
              <w:rPr>
                <w:color w:val="000000"/>
                <w:sz w:val="24"/>
                <w:szCs w:val="21"/>
                <w:highlight w:val="none"/>
              </w:rPr>
              <w:t xml:space="preserve">文件</w:t>
            </w:r>
            <w:r>
              <w:rPr>
                <w:color w:val="000000"/>
                <w:sz w:val="24"/>
                <w:highlight w:val="none"/>
              </w:rPr>
              <w:t xml:space="preserve">要求</w:t>
            </w:r>
            <w:r>
              <w:rPr>
                <w:color w:val="000000"/>
                <w:sz w:val="24"/>
                <w:highlight w:val="none"/>
              </w:rPr>
            </w:r>
            <w:r/>
          </w:p>
        </w:tc>
        <w:tc>
          <w:tcPr>
            <w:tcW w:w="2008" w:type="dxa"/>
            <w:vAlign w:val="center"/>
            <w:textDirection w:val="lrTb"/>
            <w:noWrap w:val="false"/>
          </w:tcPr>
          <w:p>
            <w:pPr>
              <w:pStyle w:val="1023"/>
              <w:jc w:val="center"/>
              <w:rPr>
                <w:color w:val="000000"/>
                <w:sz w:val="24"/>
                <w:highlight w:val="none"/>
              </w:rPr>
            </w:pPr>
            <w:r>
              <w:rPr>
                <w:color w:val="000000"/>
                <w:sz w:val="24"/>
                <w:highlight w:val="none"/>
              </w:rPr>
              <w:t xml:space="preserve">响应文件内容</w:t>
            </w:r>
            <w:r>
              <w:rPr>
                <w:color w:val="000000"/>
                <w:sz w:val="24"/>
                <w:highlight w:val="none"/>
              </w:rPr>
            </w:r>
            <w:r/>
          </w:p>
        </w:tc>
        <w:tc>
          <w:tcPr>
            <w:tcW w:w="2458" w:type="dxa"/>
            <w:vAlign w:val="center"/>
            <w:textDirection w:val="lrTb"/>
            <w:noWrap w:val="false"/>
          </w:tcPr>
          <w:p>
            <w:pPr>
              <w:pStyle w:val="1023"/>
              <w:jc w:val="center"/>
              <w:rPr>
                <w:color w:val="000000"/>
                <w:sz w:val="24"/>
                <w:highlight w:val="none"/>
              </w:rPr>
            </w:pPr>
            <w:r>
              <w:rPr>
                <w:color w:val="000000"/>
                <w:sz w:val="24"/>
                <w:highlight w:val="none"/>
              </w:rPr>
              <w:t xml:space="preserve">偏离情况</w:t>
            </w:r>
            <w:r>
              <w:rPr>
                <w:color w:val="000000"/>
                <w:sz w:val="24"/>
                <w:highlight w:val="none"/>
              </w:rPr>
            </w:r>
            <w:r/>
          </w:p>
          <w:p>
            <w:pPr>
              <w:pStyle w:val="1023"/>
              <w:jc w:val="center"/>
              <w:rPr>
                <w:color w:val="000000"/>
                <w:sz w:val="24"/>
                <w:highlight w:val="none"/>
              </w:rPr>
            </w:pPr>
            <w:r>
              <w:rPr>
                <w:color w:val="000000"/>
                <w:sz w:val="24"/>
                <w:highlight w:val="none"/>
              </w:rPr>
              <w:t xml:space="preserve">（据实填写）</w:t>
            </w:r>
            <w:r>
              <w:rPr>
                <w:color w:val="000000"/>
                <w:sz w:val="24"/>
                <w:highlight w:val="none"/>
              </w:rPr>
            </w:r>
            <w:r/>
          </w:p>
        </w:tc>
        <w:tc>
          <w:tcPr>
            <w:tcW w:w="788" w:type="dxa"/>
            <w:vAlign w:val="center"/>
            <w:textDirection w:val="lrTb"/>
            <w:noWrap w:val="false"/>
          </w:tcPr>
          <w:p>
            <w:pPr>
              <w:pStyle w:val="102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834" w:type="dxa"/>
            <w:vAlign w:val="center"/>
            <w:textDirection w:val="lrTb"/>
            <w:noWrap w:val="false"/>
          </w:tcPr>
          <w:p>
            <w:pPr>
              <w:pStyle w:val="1023"/>
              <w:jc w:val="center"/>
              <w:rPr>
                <w:color w:val="000000"/>
                <w:sz w:val="24"/>
                <w:highlight w:val="none"/>
              </w:rPr>
            </w:pPr>
            <w:r>
              <w:rPr>
                <w:color w:val="000000"/>
                <w:sz w:val="24"/>
                <w:highlight w:val="none"/>
              </w:rPr>
            </w:r>
            <w:r/>
          </w:p>
        </w:tc>
        <w:tc>
          <w:tcPr>
            <w:tcW w:w="1301" w:type="dxa"/>
            <w:vAlign w:val="center"/>
            <w:textDirection w:val="lrTb"/>
            <w:noWrap w:val="false"/>
          </w:tcPr>
          <w:p>
            <w:pPr>
              <w:pStyle w:val="1023"/>
              <w:jc w:val="center"/>
              <w:rPr>
                <w:color w:val="000000"/>
                <w:sz w:val="24"/>
                <w:highlight w:val="none"/>
              </w:rPr>
            </w:pPr>
            <w:r>
              <w:rPr>
                <w:color w:val="000000"/>
                <w:sz w:val="24"/>
                <w:highlight w:val="none"/>
              </w:rPr>
            </w:r>
            <w:r/>
          </w:p>
        </w:tc>
        <w:tc>
          <w:tcPr>
            <w:tcW w:w="2007" w:type="dxa"/>
            <w:vAlign w:val="center"/>
            <w:textDirection w:val="lrTb"/>
            <w:noWrap w:val="false"/>
          </w:tcPr>
          <w:p>
            <w:pPr>
              <w:pStyle w:val="1023"/>
              <w:jc w:val="center"/>
              <w:rPr>
                <w:color w:val="000000"/>
                <w:sz w:val="24"/>
                <w:highlight w:val="none"/>
              </w:rPr>
            </w:pPr>
            <w:r>
              <w:rPr>
                <w:color w:val="000000"/>
                <w:sz w:val="24"/>
                <w:highlight w:val="none"/>
              </w:rPr>
            </w:r>
            <w:r/>
          </w:p>
        </w:tc>
        <w:tc>
          <w:tcPr>
            <w:tcW w:w="2008" w:type="dxa"/>
            <w:vAlign w:val="center"/>
            <w:textDirection w:val="lrTb"/>
            <w:noWrap w:val="false"/>
          </w:tcPr>
          <w:p>
            <w:pPr>
              <w:pStyle w:val="1023"/>
              <w:jc w:val="center"/>
              <w:rPr>
                <w:color w:val="000000"/>
                <w:sz w:val="24"/>
                <w:highlight w:val="none"/>
              </w:rPr>
            </w:pPr>
            <w:r>
              <w:rPr>
                <w:color w:val="000000"/>
                <w:sz w:val="24"/>
                <w:highlight w:val="none"/>
              </w:rPr>
            </w:r>
            <w:r/>
          </w:p>
        </w:tc>
        <w:tc>
          <w:tcPr>
            <w:tcW w:w="2458" w:type="dxa"/>
            <w:vAlign w:val="center"/>
            <w:textDirection w:val="lrTb"/>
            <w:noWrap w:val="false"/>
          </w:tcPr>
          <w:p>
            <w:pPr>
              <w:pStyle w:val="1023"/>
              <w:jc w:val="center"/>
              <w:rPr>
                <w:color w:val="000000"/>
                <w:sz w:val="24"/>
                <w:highlight w:val="none"/>
              </w:rPr>
            </w:pPr>
            <w:r>
              <w:rPr>
                <w:color w:val="000000"/>
                <w:sz w:val="24"/>
                <w:highlight w:val="none"/>
              </w:rPr>
            </w:r>
            <w:r/>
          </w:p>
        </w:tc>
        <w:tc>
          <w:tcPr>
            <w:tcW w:w="788"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3"/>
              <w:jc w:val="center"/>
              <w:rPr>
                <w:color w:val="000000"/>
                <w:sz w:val="24"/>
                <w:highlight w:val="none"/>
              </w:rPr>
            </w:pPr>
            <w:r>
              <w:rPr>
                <w:color w:val="000000"/>
                <w:sz w:val="24"/>
                <w:highlight w:val="none"/>
              </w:rPr>
            </w:r>
            <w:r/>
          </w:p>
        </w:tc>
        <w:tc>
          <w:tcPr>
            <w:tcW w:w="1301" w:type="dxa"/>
            <w:vAlign w:val="center"/>
            <w:textDirection w:val="lrTb"/>
            <w:noWrap w:val="false"/>
          </w:tcPr>
          <w:p>
            <w:pPr>
              <w:pStyle w:val="1023"/>
              <w:jc w:val="center"/>
              <w:rPr>
                <w:color w:val="000000"/>
                <w:sz w:val="24"/>
                <w:highlight w:val="none"/>
              </w:rPr>
            </w:pPr>
            <w:r>
              <w:rPr>
                <w:color w:val="000000"/>
                <w:sz w:val="24"/>
                <w:highlight w:val="none"/>
              </w:rPr>
            </w:r>
            <w:r/>
          </w:p>
        </w:tc>
        <w:tc>
          <w:tcPr>
            <w:tcW w:w="2007" w:type="dxa"/>
            <w:vAlign w:val="center"/>
            <w:textDirection w:val="lrTb"/>
            <w:noWrap w:val="false"/>
          </w:tcPr>
          <w:p>
            <w:pPr>
              <w:pStyle w:val="1023"/>
              <w:jc w:val="center"/>
              <w:rPr>
                <w:color w:val="000000"/>
                <w:sz w:val="24"/>
                <w:highlight w:val="none"/>
              </w:rPr>
            </w:pPr>
            <w:r>
              <w:rPr>
                <w:color w:val="000000"/>
                <w:sz w:val="24"/>
                <w:highlight w:val="none"/>
              </w:rPr>
            </w:r>
            <w:r/>
          </w:p>
        </w:tc>
        <w:tc>
          <w:tcPr>
            <w:tcW w:w="2008" w:type="dxa"/>
            <w:vAlign w:val="center"/>
            <w:textDirection w:val="lrTb"/>
            <w:noWrap w:val="false"/>
          </w:tcPr>
          <w:p>
            <w:pPr>
              <w:pStyle w:val="1023"/>
              <w:jc w:val="center"/>
              <w:rPr>
                <w:color w:val="000000"/>
                <w:sz w:val="24"/>
                <w:highlight w:val="none"/>
              </w:rPr>
            </w:pPr>
            <w:r>
              <w:rPr>
                <w:color w:val="000000"/>
                <w:sz w:val="24"/>
                <w:highlight w:val="none"/>
              </w:rPr>
            </w:r>
            <w:r/>
          </w:p>
        </w:tc>
        <w:tc>
          <w:tcPr>
            <w:tcW w:w="2458" w:type="dxa"/>
            <w:vAlign w:val="center"/>
            <w:textDirection w:val="lrTb"/>
            <w:noWrap w:val="false"/>
          </w:tcPr>
          <w:p>
            <w:pPr>
              <w:pStyle w:val="1023"/>
              <w:jc w:val="center"/>
              <w:rPr>
                <w:color w:val="000000"/>
                <w:sz w:val="24"/>
                <w:highlight w:val="none"/>
              </w:rPr>
            </w:pPr>
            <w:r>
              <w:rPr>
                <w:color w:val="000000"/>
                <w:sz w:val="24"/>
                <w:highlight w:val="none"/>
              </w:rPr>
            </w:r>
            <w:r/>
          </w:p>
        </w:tc>
        <w:tc>
          <w:tcPr>
            <w:tcW w:w="788"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3"/>
              <w:jc w:val="center"/>
              <w:rPr>
                <w:color w:val="000000"/>
                <w:sz w:val="24"/>
                <w:highlight w:val="none"/>
              </w:rPr>
            </w:pPr>
            <w:r>
              <w:rPr>
                <w:color w:val="000000"/>
                <w:sz w:val="24"/>
                <w:highlight w:val="none"/>
              </w:rPr>
            </w:r>
            <w:r/>
          </w:p>
        </w:tc>
        <w:tc>
          <w:tcPr>
            <w:tcW w:w="1301" w:type="dxa"/>
            <w:vAlign w:val="center"/>
            <w:textDirection w:val="lrTb"/>
            <w:noWrap w:val="false"/>
          </w:tcPr>
          <w:p>
            <w:pPr>
              <w:pStyle w:val="1023"/>
              <w:jc w:val="center"/>
              <w:rPr>
                <w:color w:val="000000"/>
                <w:sz w:val="24"/>
                <w:highlight w:val="none"/>
              </w:rPr>
            </w:pPr>
            <w:r>
              <w:rPr>
                <w:color w:val="000000"/>
                <w:sz w:val="24"/>
                <w:highlight w:val="none"/>
              </w:rPr>
            </w:r>
            <w:r/>
          </w:p>
        </w:tc>
        <w:tc>
          <w:tcPr>
            <w:tcW w:w="2007" w:type="dxa"/>
            <w:vAlign w:val="center"/>
            <w:textDirection w:val="lrTb"/>
            <w:noWrap w:val="false"/>
          </w:tcPr>
          <w:p>
            <w:pPr>
              <w:pStyle w:val="1023"/>
              <w:jc w:val="center"/>
              <w:rPr>
                <w:color w:val="000000"/>
                <w:sz w:val="24"/>
                <w:highlight w:val="none"/>
              </w:rPr>
            </w:pPr>
            <w:r>
              <w:rPr>
                <w:color w:val="000000"/>
                <w:sz w:val="24"/>
                <w:highlight w:val="none"/>
              </w:rPr>
            </w:r>
            <w:r/>
          </w:p>
        </w:tc>
        <w:tc>
          <w:tcPr>
            <w:tcW w:w="2008" w:type="dxa"/>
            <w:vAlign w:val="center"/>
            <w:textDirection w:val="lrTb"/>
            <w:noWrap w:val="false"/>
          </w:tcPr>
          <w:p>
            <w:pPr>
              <w:pStyle w:val="1023"/>
              <w:jc w:val="center"/>
              <w:rPr>
                <w:color w:val="000000"/>
                <w:sz w:val="24"/>
                <w:highlight w:val="none"/>
              </w:rPr>
            </w:pPr>
            <w:r>
              <w:rPr>
                <w:color w:val="000000"/>
                <w:sz w:val="24"/>
                <w:highlight w:val="none"/>
              </w:rPr>
            </w:r>
            <w:r/>
          </w:p>
        </w:tc>
        <w:tc>
          <w:tcPr>
            <w:tcW w:w="2458" w:type="dxa"/>
            <w:vAlign w:val="center"/>
            <w:textDirection w:val="lrTb"/>
            <w:noWrap w:val="false"/>
          </w:tcPr>
          <w:p>
            <w:pPr>
              <w:pStyle w:val="1023"/>
              <w:jc w:val="center"/>
              <w:rPr>
                <w:color w:val="000000"/>
                <w:sz w:val="24"/>
                <w:highlight w:val="none"/>
              </w:rPr>
            </w:pPr>
            <w:r>
              <w:rPr>
                <w:color w:val="000000"/>
                <w:sz w:val="24"/>
                <w:highlight w:val="none"/>
              </w:rPr>
            </w:r>
            <w:r/>
          </w:p>
        </w:tc>
        <w:tc>
          <w:tcPr>
            <w:tcW w:w="788"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834" w:type="dxa"/>
            <w:vAlign w:val="center"/>
            <w:textDirection w:val="lrTb"/>
            <w:noWrap w:val="false"/>
          </w:tcPr>
          <w:p>
            <w:pPr>
              <w:pStyle w:val="1023"/>
              <w:jc w:val="center"/>
              <w:rPr>
                <w:color w:val="000000"/>
                <w:sz w:val="24"/>
                <w:highlight w:val="none"/>
              </w:rPr>
            </w:pPr>
            <w:r>
              <w:rPr>
                <w:color w:val="000000"/>
                <w:sz w:val="24"/>
                <w:highlight w:val="none"/>
              </w:rPr>
            </w:r>
            <w:r/>
          </w:p>
        </w:tc>
        <w:tc>
          <w:tcPr>
            <w:tcW w:w="1301" w:type="dxa"/>
            <w:vAlign w:val="center"/>
            <w:textDirection w:val="lrTb"/>
            <w:noWrap w:val="false"/>
          </w:tcPr>
          <w:p>
            <w:pPr>
              <w:pStyle w:val="1023"/>
              <w:jc w:val="center"/>
              <w:rPr>
                <w:color w:val="000000"/>
                <w:sz w:val="24"/>
                <w:highlight w:val="none"/>
              </w:rPr>
            </w:pPr>
            <w:r>
              <w:rPr>
                <w:color w:val="000000"/>
                <w:sz w:val="24"/>
                <w:highlight w:val="none"/>
              </w:rPr>
            </w:r>
            <w:r/>
          </w:p>
        </w:tc>
        <w:tc>
          <w:tcPr>
            <w:tcW w:w="2007" w:type="dxa"/>
            <w:vAlign w:val="center"/>
            <w:textDirection w:val="lrTb"/>
            <w:noWrap w:val="false"/>
          </w:tcPr>
          <w:p>
            <w:pPr>
              <w:pStyle w:val="1023"/>
              <w:jc w:val="center"/>
              <w:rPr>
                <w:color w:val="000000"/>
                <w:sz w:val="24"/>
                <w:highlight w:val="none"/>
              </w:rPr>
            </w:pPr>
            <w:r>
              <w:rPr>
                <w:color w:val="000000"/>
                <w:sz w:val="24"/>
                <w:highlight w:val="none"/>
              </w:rPr>
            </w:r>
            <w:r/>
          </w:p>
        </w:tc>
        <w:tc>
          <w:tcPr>
            <w:tcW w:w="2008" w:type="dxa"/>
            <w:vAlign w:val="center"/>
            <w:textDirection w:val="lrTb"/>
            <w:noWrap w:val="false"/>
          </w:tcPr>
          <w:p>
            <w:pPr>
              <w:pStyle w:val="1023"/>
              <w:jc w:val="center"/>
              <w:rPr>
                <w:color w:val="000000"/>
                <w:sz w:val="24"/>
                <w:highlight w:val="none"/>
              </w:rPr>
            </w:pPr>
            <w:r>
              <w:rPr>
                <w:color w:val="000000"/>
                <w:sz w:val="24"/>
                <w:highlight w:val="none"/>
              </w:rPr>
            </w:r>
            <w:r/>
          </w:p>
        </w:tc>
        <w:tc>
          <w:tcPr>
            <w:tcW w:w="2458" w:type="dxa"/>
            <w:vAlign w:val="center"/>
            <w:textDirection w:val="lrTb"/>
            <w:noWrap w:val="false"/>
          </w:tcPr>
          <w:p>
            <w:pPr>
              <w:pStyle w:val="1023"/>
              <w:jc w:val="center"/>
              <w:rPr>
                <w:color w:val="000000"/>
                <w:sz w:val="24"/>
                <w:highlight w:val="none"/>
              </w:rPr>
            </w:pPr>
            <w:r>
              <w:rPr>
                <w:color w:val="000000"/>
                <w:sz w:val="24"/>
                <w:highlight w:val="none"/>
              </w:rPr>
            </w:r>
            <w:r/>
          </w:p>
        </w:tc>
        <w:tc>
          <w:tcPr>
            <w:tcW w:w="788" w:type="dxa"/>
            <w:vAlign w:val="center"/>
            <w:textDirection w:val="lrTb"/>
            <w:noWrap w:val="false"/>
          </w:tcPr>
          <w:p>
            <w:pPr>
              <w:pStyle w:val="1023"/>
              <w:jc w:val="center"/>
              <w:rPr>
                <w:color w:val="000000"/>
                <w:sz w:val="24"/>
                <w:highlight w:val="none"/>
              </w:rPr>
            </w:pPr>
            <w:r>
              <w:rPr>
                <w:color w:val="000000"/>
                <w:sz w:val="24"/>
                <w:highlight w:val="none"/>
              </w:rPr>
            </w:r>
            <w:r/>
          </w:p>
        </w:tc>
      </w:tr>
    </w:tbl>
    <w:p>
      <w:pPr>
        <w:pStyle w:val="1023"/>
        <w:jc w:val="left"/>
        <w:tabs>
          <w:tab w:val="left" w:pos="1800" w:leader="none"/>
          <w:tab w:val="left" w:pos="5580" w:leader="none"/>
        </w:tabs>
        <w:rPr>
          <w:color w:val="000000"/>
          <w:sz w:val="24"/>
          <w:highlight w:val="none"/>
        </w:rPr>
      </w:pPr>
      <w:r>
        <w:rPr>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 对合同条款中的所有要求，除本表所列明的所有偏离外，均视作供应商已对之理解和响应。</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 “偏离情况”列应据实填写“正偏离”或“负偏离”。</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3.若以联合体投标，由联合体牵头人盖章。</w:t>
      </w:r>
      <w:r>
        <w:rPr>
          <w:rFonts w:hint="eastAsia" w:ascii="Times New Roman" w:hAnsi="Times New Roman" w:eastAsia="宋体" w:cs="Times New Roman"/>
          <w:color w:val="000000"/>
          <w:sz w:val="24"/>
          <w:highlight w:val="none"/>
        </w:rPr>
      </w:r>
      <w:r/>
    </w:p>
    <w:p>
      <w:pPr>
        <w:pStyle w:val="102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1023"/>
        <w:ind w:firstLine="492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1023"/>
        <w:jc w:val="center"/>
        <w:rPr>
          <w:rFonts w:hint="eastAsia"/>
          <w:b/>
          <w:color w:val="000000"/>
          <w:sz w:val="30"/>
          <w:szCs w:val="30"/>
          <w:highlight w:val="none"/>
        </w:rPr>
      </w:pPr>
      <w:r>
        <w:rPr>
          <w:b/>
          <w:color w:val="000000"/>
          <w:spacing w:val="20"/>
          <w:sz w:val="32"/>
          <w:szCs w:val="32"/>
          <w:highlight w:val="none"/>
        </w:rPr>
        <w:br w:type="page" w:clear="all"/>
      </w:r>
      <w:r>
        <w:rPr>
          <w:rFonts w:hint="eastAsia"/>
          <w:b/>
          <w:color w:val="000000"/>
          <w:sz w:val="30"/>
          <w:szCs w:val="30"/>
          <w:highlight w:val="none"/>
        </w:rPr>
        <w:t xml:space="preserve">十</w:t>
      </w:r>
      <w:r>
        <w:rPr>
          <w:rFonts w:hint="eastAsia"/>
          <w:b/>
          <w:color w:val="000000"/>
          <w:sz w:val="30"/>
          <w:szCs w:val="30"/>
          <w:highlight w:val="none"/>
          <w:lang w:eastAsia="zh-CN"/>
        </w:rPr>
        <w:t xml:space="preserve">六</w:t>
      </w:r>
      <w:r>
        <w:rPr>
          <w:rFonts w:hint="eastAsia"/>
          <w:b/>
          <w:color w:val="000000"/>
          <w:sz w:val="30"/>
          <w:szCs w:val="30"/>
          <w:highlight w:val="none"/>
        </w:rPr>
        <w:t xml:space="preserve">、采购需求偏离表</w:t>
      </w:r>
      <w:r>
        <w:rPr>
          <w:b/>
          <w:color w:val="000000"/>
          <w:sz w:val="30"/>
          <w:szCs w:val="30"/>
          <w:highlight w:val="none"/>
        </w:rPr>
        <w:t xml:space="preserve">（实质性格式）</w:t>
      </w:r>
      <w:r>
        <w:rPr>
          <w:rFonts w:hint="eastAsia"/>
          <w:b/>
          <w:color w:val="000000"/>
          <w:sz w:val="30"/>
          <w:szCs w:val="30"/>
          <w:highlight w:val="none"/>
        </w:rPr>
      </w:r>
      <w:r/>
    </w:p>
    <w:p>
      <w:pPr>
        <w:pStyle w:val="1023"/>
        <w:jc w:val="center"/>
        <w:rPr>
          <w:color w:val="000000"/>
          <w:sz w:val="30"/>
          <w:szCs w:val="30"/>
          <w:highlight w:val="none"/>
        </w:rPr>
      </w:pPr>
      <w:r>
        <w:rPr>
          <w:color w:val="000000"/>
          <w:sz w:val="30"/>
          <w:szCs w:val="30"/>
          <w:highlight w:val="none"/>
        </w:rPr>
      </w:r>
      <w:r/>
    </w:p>
    <w:p>
      <w:pPr>
        <w:pStyle w:val="1023"/>
        <w:jc w:val="center"/>
        <w:rPr>
          <w:color w:val="000000"/>
          <w:sz w:val="36"/>
          <w:szCs w:val="36"/>
          <w:highlight w:val="none"/>
        </w:rPr>
      </w:pPr>
      <w:r>
        <w:rPr>
          <w:color w:val="000000"/>
          <w:sz w:val="36"/>
          <w:szCs w:val="36"/>
          <w:highlight w:val="none"/>
        </w:rPr>
      </w:r>
      <w:r/>
    </w:p>
    <w:p>
      <w:pPr>
        <w:pStyle w:val="1023"/>
        <w:ind w:firstLine="36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项目编号/包号：_____________________   项目名称：_______________________</w:t>
      </w:r>
      <w:r>
        <w:rPr>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23"/>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rFonts w:hint="eastAsia"/>
                <w:color w:val="000000"/>
                <w:sz w:val="24"/>
                <w:highlight w:val="none"/>
              </w:rPr>
              <w:t xml:space="preserve">采购</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rFonts w:hint="eastAsia"/>
                <w:color w:val="000000"/>
                <w:sz w:val="24"/>
                <w:highlight w:val="none"/>
              </w:rPr>
              <w:t xml:space="preserve">采购</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t xml:space="preserve">偏离情况</w:t>
            </w:r>
            <w:r>
              <w:rPr>
                <w:color w:val="000000"/>
                <w:sz w:val="24"/>
                <w:highlight w:val="none"/>
              </w:rPr>
            </w:r>
            <w:r/>
          </w:p>
          <w:p>
            <w:pPr>
              <w:pStyle w:val="1023"/>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1023"/>
              <w:jc w:val="center"/>
              <w:rPr>
                <w:color w:val="000000"/>
                <w:sz w:val="24"/>
                <w:highlight w:val="none"/>
              </w:rPr>
            </w:pPr>
            <w:r>
              <w:rPr>
                <w:color w:val="000000"/>
                <w:sz w:val="24"/>
                <w:highlight w:val="none"/>
              </w:rPr>
            </w:r>
            <w:r/>
          </w:p>
        </w:tc>
        <w:tc>
          <w:tcPr>
            <w:tcW w:w="1482" w:type="dxa"/>
            <w:vAlign w:val="center"/>
            <w:textDirection w:val="lrTb"/>
            <w:noWrap w:val="false"/>
          </w:tcPr>
          <w:p>
            <w:pPr>
              <w:pStyle w:val="1023"/>
              <w:jc w:val="center"/>
              <w:rPr>
                <w:color w:val="000000"/>
                <w:sz w:val="24"/>
                <w:highlight w:val="none"/>
              </w:rPr>
            </w:pPr>
            <w:r>
              <w:rPr>
                <w:color w:val="000000"/>
                <w:sz w:val="24"/>
                <w:highlight w:val="none"/>
              </w:rPr>
            </w:r>
            <w:r/>
          </w:p>
        </w:tc>
        <w:tc>
          <w:tcPr>
            <w:tcW w:w="2384" w:type="dxa"/>
            <w:vAlign w:val="center"/>
            <w:textDirection w:val="lrTb"/>
            <w:noWrap w:val="false"/>
          </w:tcPr>
          <w:p>
            <w:pPr>
              <w:pStyle w:val="1023"/>
              <w:jc w:val="center"/>
              <w:rPr>
                <w:color w:val="000000"/>
                <w:sz w:val="24"/>
                <w:highlight w:val="none"/>
              </w:rPr>
            </w:pPr>
            <w:r>
              <w:rPr>
                <w:color w:val="000000"/>
                <w:sz w:val="24"/>
                <w:highlight w:val="none"/>
              </w:rPr>
            </w:r>
            <w:r/>
          </w:p>
        </w:tc>
        <w:tc>
          <w:tcPr>
            <w:tcW w:w="2126" w:type="dxa"/>
            <w:vAlign w:val="center"/>
            <w:textDirection w:val="lrTb"/>
            <w:noWrap w:val="false"/>
          </w:tcPr>
          <w:p>
            <w:pPr>
              <w:pStyle w:val="1023"/>
              <w:jc w:val="center"/>
              <w:rPr>
                <w:color w:val="000000"/>
                <w:sz w:val="24"/>
                <w:highlight w:val="none"/>
              </w:rPr>
            </w:pPr>
            <w:r>
              <w:rPr>
                <w:color w:val="000000"/>
                <w:sz w:val="24"/>
                <w:highlight w:val="none"/>
              </w:rPr>
            </w:r>
            <w:r/>
          </w:p>
        </w:tc>
        <w:tc>
          <w:tcPr>
            <w:tcW w:w="1875" w:type="dxa"/>
            <w:vAlign w:val="center"/>
            <w:textDirection w:val="lrTb"/>
            <w:noWrap w:val="false"/>
          </w:tcPr>
          <w:p>
            <w:pPr>
              <w:pStyle w:val="1023"/>
              <w:jc w:val="center"/>
              <w:rPr>
                <w:color w:val="000000"/>
                <w:sz w:val="24"/>
                <w:highlight w:val="none"/>
              </w:rPr>
            </w:pPr>
            <w:r>
              <w:rPr>
                <w:color w:val="000000"/>
                <w:sz w:val="24"/>
                <w:highlight w:val="none"/>
              </w:rPr>
            </w:r>
            <w:r/>
          </w:p>
        </w:tc>
        <w:tc>
          <w:tcPr>
            <w:tcW w:w="1009" w:type="dxa"/>
            <w:vAlign w:val="center"/>
            <w:textDirection w:val="lrTb"/>
            <w:noWrap w:val="false"/>
          </w:tcPr>
          <w:p>
            <w:pPr>
              <w:pStyle w:val="1023"/>
              <w:jc w:val="center"/>
              <w:rPr>
                <w:color w:val="000000"/>
                <w:sz w:val="24"/>
                <w:highlight w:val="none"/>
              </w:rPr>
            </w:pPr>
            <w:r>
              <w:rPr>
                <w:color w:val="000000"/>
                <w:sz w:val="24"/>
                <w:highlight w:val="none"/>
              </w:rPr>
            </w:r>
            <w:r/>
          </w:p>
        </w:tc>
      </w:tr>
    </w:tbl>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注：</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 对采购文件中的所有商务、技术要求，除本表所列明的所有偏离外，均视作供应商已对之理解和响应。</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2.“偏离情况”列应据实填写“正偏离”或“负偏离”。</w:t>
      </w:r>
      <w:r>
        <w:rPr>
          <w:rFonts w:hint="eastAsia" w:ascii="Times New Roman" w:hAnsi="Times New Roman" w:eastAsia="宋体" w:cs="Times New Roman"/>
          <w:color w:val="000000"/>
          <w:sz w:val="24"/>
          <w:highlight w:val="none"/>
        </w:rPr>
      </w:r>
      <w:r/>
    </w:p>
    <w:p>
      <w:pPr>
        <w:pStyle w:val="1023"/>
        <w:jc w:val="left"/>
        <w:tabs>
          <w:tab w:val="left" w:pos="1800" w:leader="none"/>
          <w:tab w:val="left" w:pos="5580"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3.若以联合体投标，由联合体牵头人盖章。</w:t>
      </w:r>
      <w:r>
        <w:rPr>
          <w:rFonts w:hint="eastAsia" w:ascii="Times New Roman" w:hAnsi="Times New Roman" w:eastAsia="宋体" w:cs="Times New Roman"/>
          <w:color w:val="000000"/>
          <w:sz w:val="24"/>
          <w:highlight w:val="none"/>
        </w:rPr>
      </w:r>
      <w:r/>
    </w:p>
    <w:p>
      <w:pPr>
        <w:pStyle w:val="1023"/>
        <w:rPr>
          <w:color w:val="000000"/>
          <w:sz w:val="24"/>
          <w:szCs w:val="20"/>
          <w:highlight w:val="none"/>
        </w:rPr>
      </w:pPr>
      <w:r>
        <w:rPr>
          <w:color w:val="000000"/>
          <w:sz w:val="24"/>
          <w:szCs w:val="20"/>
          <w:highlight w:val="none"/>
        </w:rPr>
      </w:r>
      <w:r/>
    </w:p>
    <w:p>
      <w:pPr>
        <w:pStyle w:val="1023"/>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23"/>
        <w:ind w:firstLine="4920"/>
        <w:spacing w:line="360" w:lineRule="auto"/>
        <w:rPr>
          <w:rFonts w:ascii="宋体" w:hAnsi="宋体" w:cs="黑体"/>
          <w:bCs/>
          <w:color w:val="000000"/>
          <w:sz w:val="24"/>
          <w:highlight w:val="none"/>
          <w:lang w:bidi="ar"/>
        </w:rPr>
      </w:pPr>
      <w:r>
        <w:rPr>
          <w:rFonts w:hint="eastAsia" w:ascii="宋体" w:hAnsi="宋体" w:cs="黑体"/>
          <w:bCs/>
          <w:color w:val="000000"/>
          <w:sz w:val="24"/>
          <w:highlight w:val="none"/>
          <w:lang w:bidi="ar"/>
        </w:rPr>
        <w:t xml:space="preserve">供应商名称：（加盖CA电子公章）  </w:t>
      </w:r>
      <w:r>
        <w:rPr>
          <w:rFonts w:ascii="宋体" w:hAnsi="宋体" w:cs="黑体"/>
          <w:bCs/>
          <w:color w:val="000000"/>
          <w:sz w:val="24"/>
          <w:highlight w:val="none"/>
          <w:lang w:bidi="ar"/>
        </w:rPr>
      </w:r>
      <w:r/>
    </w:p>
    <w:p>
      <w:pPr>
        <w:pStyle w:val="1023"/>
        <w:ind w:firstLine="4800"/>
        <w:spacing w:line="360" w:lineRule="auto"/>
        <w:rPr>
          <w:rFonts w:ascii="宋体" w:hAnsi="宋体" w:cs="黑体"/>
          <w:bCs/>
          <w:color w:val="000000"/>
          <w:sz w:val="24"/>
          <w:highlight w:val="none"/>
          <w:lang w:bidi="ar"/>
        </w:rPr>
      </w:pPr>
      <w:r>
        <w:rPr>
          <w:rFonts w:ascii="宋体" w:hAnsi="宋体" w:cs="黑体"/>
          <w:bCs/>
          <w:color w:val="000000"/>
          <w:sz w:val="24"/>
          <w:highlight w:val="none"/>
          <w:lang w:bidi="ar"/>
        </w:rPr>
        <w:t xml:space="preserve">日期：_____年______月______日</w:t>
      </w:r>
      <w:r>
        <w:rPr>
          <w:rFonts w:ascii="宋体" w:hAnsi="宋体" w:cs="黑体"/>
          <w:bCs/>
          <w:color w:val="000000"/>
          <w:sz w:val="24"/>
          <w:highlight w:val="none"/>
          <w:lang w:bidi="ar"/>
        </w:rPr>
      </w:r>
      <w:r/>
    </w:p>
    <w:p>
      <w:pPr>
        <w:pStyle w:val="1023"/>
        <w:jc w:val="center"/>
        <w:rPr>
          <w:b/>
          <w:color w:val="000000"/>
          <w:spacing w:val="20"/>
          <w:sz w:val="32"/>
          <w:szCs w:val="32"/>
          <w:highlight w:val="none"/>
        </w:rPr>
      </w:pPr>
      <w:r>
        <w:rPr>
          <w:rFonts w:hint="eastAsia"/>
          <w:b/>
          <w:color w:val="000000"/>
          <w:spacing w:val="20"/>
          <w:sz w:val="32"/>
          <w:szCs w:val="32"/>
          <w:highlight w:val="none"/>
        </w:rPr>
        <w:br w:type="page" w:clear="all"/>
      </w:r>
      <w:bookmarkEnd w:id="300"/>
      <w:r>
        <w:rPr>
          <w:rFonts w:hint="eastAsia"/>
          <w:b/>
          <w:color w:val="000000"/>
          <w:spacing w:val="20"/>
          <w:sz w:val="32"/>
          <w:szCs w:val="32"/>
          <w:highlight w:val="none"/>
        </w:rPr>
        <w:t xml:space="preserve">十</w:t>
      </w:r>
      <w:r>
        <w:rPr>
          <w:rFonts w:hint="eastAsia"/>
          <w:b/>
          <w:color w:val="000000"/>
          <w:spacing w:val="20"/>
          <w:sz w:val="32"/>
          <w:szCs w:val="32"/>
          <w:highlight w:val="none"/>
          <w:lang w:eastAsia="zh-CN"/>
        </w:rPr>
        <w:t xml:space="preserve">七</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1023"/>
        <w:jc w:val="both"/>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hint="eastAsia" w:ascii="宋体" w:hAnsi="宋体"/>
          <w:b/>
          <w:color w:val="000000"/>
          <w:sz w:val="32"/>
          <w:szCs w:val="32"/>
          <w:highlight w:val="none"/>
        </w:rPr>
      </w:r>
      <w:r/>
    </w:p>
    <w:p>
      <w:pPr>
        <w:pStyle w:val="1023"/>
        <w:spacing w:line="360" w:lineRule="auto"/>
        <w:rPr>
          <w:rFonts w:hint="eastAsia" w:ascii="宋体" w:hAnsi="宋体"/>
          <w:color w:val="000000"/>
          <w:sz w:val="22"/>
          <w:highlight w:val="none"/>
        </w:rPr>
      </w:pPr>
      <w:r>
        <w:rPr>
          <w:rFonts w:hint="eastAsia" w:ascii="宋体" w:hAnsi="宋体"/>
          <w:color w:val="000000"/>
          <w:sz w:val="22"/>
          <w:highlight w:val="none"/>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10421"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96"/>
        <w:gridCol w:w="996"/>
        <w:gridCol w:w="996"/>
        <w:gridCol w:w="996"/>
        <w:gridCol w:w="996"/>
        <w:gridCol w:w="996"/>
        <w:gridCol w:w="996"/>
        <w:gridCol w:w="996"/>
        <w:gridCol w:w="996"/>
        <w:gridCol w:w="1457"/>
      </w:tblGrid>
      <w:tr>
        <w:trPr>
          <w:trHeight w:val="1378"/>
        </w:trPr>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姓名</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性别</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年龄</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毕业学校和学历</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职称</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专业培训及证书</w:t>
            </w:r>
            <w:r>
              <w:rPr>
                <w:rFonts w:hint="eastAsia" w:ascii="宋体" w:hAnsi="宋体" w:cs="宋体"/>
                <w:color w:val="000000"/>
                <w:sz w:val="24"/>
                <w:highlight w:val="none"/>
              </w:rPr>
            </w:r>
            <w:r/>
          </w:p>
        </w:tc>
        <w:tc>
          <w:tcPr>
            <w:tcW w:w="996"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责任</w:t>
            </w:r>
            <w:r>
              <w:rPr>
                <w:rFonts w:hint="eastAsia" w:ascii="宋体" w:hAnsi="宋体" w:cs="宋体"/>
                <w:color w:val="000000"/>
                <w:sz w:val="24"/>
                <w:highlight w:val="none"/>
              </w:rPr>
            </w:r>
            <w:r/>
          </w:p>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或分工</w:t>
            </w:r>
            <w:r>
              <w:rPr>
                <w:rFonts w:hint="eastAsia" w:ascii="宋体" w:hAnsi="宋体" w:cs="宋体"/>
                <w:color w:val="000000"/>
                <w:sz w:val="24"/>
                <w:highlight w:val="none"/>
              </w:rPr>
            </w:r>
            <w:r/>
          </w:p>
        </w:tc>
        <w:tc>
          <w:tcPr>
            <w:tcW w:w="1457"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hint="eastAsia" w:ascii="宋体" w:hAnsi="宋体" w:cs="宋体"/>
                <w:color w:val="000000"/>
                <w:sz w:val="24"/>
                <w:highlight w:val="none"/>
              </w:rPr>
            </w:r>
            <w:r/>
          </w:p>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业绩</w:t>
            </w:r>
            <w:r>
              <w:rPr>
                <w:rFonts w:hint="eastAsia" w:ascii="宋体" w:hAnsi="宋体" w:cs="宋体"/>
                <w:color w:val="000000"/>
                <w:sz w:val="24"/>
                <w:highlight w:val="none"/>
              </w:rPr>
            </w:r>
            <w:r/>
          </w:p>
        </w:tc>
      </w:tr>
      <w:tr>
        <w:trPr>
          <w:trHeight w:val="48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48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r>
        <w:trPr>
          <w:trHeight w:val="48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8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490"/>
        </w:trPr>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996"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c>
          <w:tcPr>
            <w:tcW w:w="145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tc>
      </w:tr>
    </w:tbl>
    <w:p>
      <w:pPr>
        <w:pStyle w:val="1023"/>
        <w:tabs>
          <w:tab w:val="left" w:pos="9765" w:leader="none"/>
        </w:tabs>
        <w:rPr>
          <w:rFonts w:hint="eastAsia" w:ascii="宋体" w:hAnsi="宋体" w:cs="宋体"/>
          <w:b/>
          <w:color w:val="000000"/>
          <w:sz w:val="24"/>
          <w:highlight w:val="none"/>
          <w:lang w:val="zh-CN"/>
        </w:rPr>
      </w:pPr>
      <w:r>
        <w:rPr>
          <w:rFonts w:hint="eastAsia" w:ascii="宋体" w:hAnsi="宋体" w:cs="宋体"/>
          <w:b/>
          <w:color w:val="000000"/>
          <w:sz w:val="24"/>
          <w:highlight w:val="none"/>
          <w:lang w:val="zh-CN"/>
        </w:rPr>
      </w:r>
      <w:r/>
    </w:p>
    <w:p>
      <w:pPr>
        <w:pStyle w:val="1023"/>
        <w:spacing w:line="360" w:lineRule="auto"/>
        <w:tabs>
          <w:tab w:val="left" w:pos="9765" w:leader="none"/>
        </w:tabs>
        <w:rPr>
          <w:rFonts w:hint="eastAsia"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rPr>
          <w:rFonts w:hint="eastAsia" w:ascii="宋体" w:hAnsi="宋体" w:cs="宋体"/>
          <w:b/>
          <w:color w:val="000000"/>
          <w:sz w:val="24"/>
          <w:highlight w:val="none"/>
        </w:rPr>
      </w:r>
      <w:r/>
    </w:p>
    <w:p>
      <w:pPr>
        <w:pStyle w:val="1023"/>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23"/>
        <w:ind w:firstLine="4320"/>
        <w:spacing w:before="25" w:after="25" w:line="360" w:lineRule="auto"/>
        <w:rPr>
          <w:rFonts w:ascii="黑体" w:eastAsia="黑体" w:cs="黑体"/>
          <w:bCs/>
          <w:color w:val="000000"/>
          <w:sz w:val="24"/>
          <w:highlight w:val="none"/>
          <w:lang w:bidi="ar"/>
        </w:rPr>
      </w:pPr>
      <w:r/>
      <w:bookmarkStart w:id="301" w:name="_Hlk149916855"/>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1023"/>
        <w:ind w:firstLine="4320"/>
        <w:spacing w:before="25" w:after="25" w:line="360" w:lineRule="auto"/>
        <w:rPr>
          <w:rFonts w:ascii="黑体" w:eastAsia="黑体" w:cs="黑体"/>
          <w:bCs/>
          <w:color w:val="000000"/>
          <w:sz w:val="24"/>
          <w:highlight w:val="none"/>
          <w:lang w:bidi="ar"/>
        </w:rPr>
      </w:pPr>
      <w:r/>
      <w:bookmarkEnd w:id="301"/>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023"/>
        <w:rPr>
          <w:color w:val="000000"/>
          <w:sz w:val="24"/>
          <w:szCs w:val="20"/>
          <w:highlight w:val="none"/>
        </w:rPr>
      </w:pPr>
      <w:r>
        <w:rPr>
          <w:color w:val="000000"/>
          <w:sz w:val="22"/>
          <w:highlight w:val="none"/>
        </w:rPr>
        <w:br w:type="page" w:clear="all"/>
      </w:r>
      <w:bookmarkStart w:id="302" w:name="_Toc288738839"/>
      <w:r/>
      <w:bookmarkStart w:id="303" w:name="_Toc288738397"/>
      <w:r>
        <w:rPr>
          <w:color w:val="000000"/>
          <w:sz w:val="24"/>
          <w:szCs w:val="20"/>
          <w:highlight w:val="none"/>
        </w:rPr>
      </w:r>
      <w:r/>
    </w:p>
    <w:p>
      <w:pPr>
        <w:pStyle w:val="1023"/>
        <w:jc w:val="both"/>
        <w:rPr>
          <w:rFonts w:hint="eastAsia"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02"/>
      <w:r/>
      <w:bookmarkEnd w:id="303"/>
      <w:r>
        <w:rPr>
          <w:rFonts w:hint="eastAsia" w:ascii="宋体" w:hAnsi="宋体"/>
          <w:b/>
          <w:color w:val="000000"/>
          <w:sz w:val="32"/>
          <w:szCs w:val="32"/>
          <w:highlight w:val="none"/>
        </w:rPr>
      </w:r>
      <w:r/>
    </w:p>
    <w:p>
      <w:pPr>
        <w:pStyle w:val="1023"/>
        <w:jc w:val="center"/>
        <w:spacing w:line="360" w:lineRule="auto"/>
        <w:rPr>
          <w:rFonts w:hint="eastAsia" w:ascii="宋体" w:hAnsi="宋体"/>
          <w:b/>
          <w:color w:val="000000"/>
          <w:sz w:val="28"/>
          <w:szCs w:val="30"/>
          <w:highlight w:val="none"/>
        </w:rPr>
      </w:pPr>
      <w:r>
        <w:rPr>
          <w:rFonts w:hint="eastAsia" w:ascii="宋体" w:hAnsi="宋体"/>
          <w:b/>
          <w:color w:val="000000"/>
          <w:sz w:val="28"/>
          <w:szCs w:val="30"/>
          <w:highlight w:val="none"/>
        </w:rPr>
      </w:r>
      <w:r/>
    </w:p>
    <w:p>
      <w:pPr>
        <w:pStyle w:val="1023"/>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hint="eastAsia"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hint="eastAsia"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23"/>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23"/>
              <w:ind w:hanging="523"/>
              <w:jc w:val="center"/>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23"/>
              <w:spacing w:line="360" w:lineRule="auto"/>
              <w:tabs>
                <w:tab w:val="left" w:pos="9765"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23"/>
        <w:tabs>
          <w:tab w:val="left" w:pos="9765" w:leader="none"/>
        </w:tabs>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p>
      <w:pPr>
        <w:pStyle w:val="1023"/>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23"/>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rPr>
          <w:rFonts w:ascii="黑体" w:eastAsia="黑体" w:cs="黑体"/>
          <w:bCs/>
          <w:color w:val="000000"/>
          <w:sz w:val="24"/>
          <w:highlight w:val="none"/>
          <w:lang w:bidi="ar"/>
        </w:rPr>
      </w:r>
      <w:r/>
    </w:p>
    <w:p>
      <w:pPr>
        <w:pStyle w:val="1023"/>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1023"/>
        <w:spacing w:line="360" w:lineRule="auto"/>
        <w:rPr>
          <w:color w:val="000000"/>
          <w:sz w:val="24"/>
          <w:szCs w:val="20"/>
          <w:highlight w:val="none"/>
        </w:rPr>
        <w:outlineLvl w:val="2"/>
      </w:pPr>
      <w:r>
        <w:rPr>
          <w:color w:val="000000"/>
          <w:sz w:val="24"/>
          <w:szCs w:val="20"/>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1023"/>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w:t>
      </w:r>
      <w:r>
        <w:rPr>
          <w:rFonts w:hint="eastAsia"/>
          <w:b/>
          <w:color w:val="000000"/>
          <w:spacing w:val="20"/>
          <w:sz w:val="32"/>
          <w:szCs w:val="32"/>
          <w:highlight w:val="none"/>
          <w:lang w:eastAsia="zh-CN"/>
        </w:rPr>
        <w:t xml:space="preserve">招标</w:t>
      </w:r>
      <w:r>
        <w:rPr>
          <w:rFonts w:hint="eastAsia"/>
          <w:b/>
          <w:color w:val="000000"/>
          <w:spacing w:val="20"/>
          <w:sz w:val="32"/>
          <w:szCs w:val="32"/>
          <w:highlight w:val="none"/>
        </w:rPr>
        <w:t xml:space="preserve">文件的询问内容</w:t>
      </w:r>
      <w:r>
        <w:rPr>
          <w:b/>
          <w:color w:val="000000"/>
          <w:spacing w:val="20"/>
          <w:sz w:val="32"/>
          <w:szCs w:val="32"/>
          <w:highlight w:val="none"/>
        </w:rPr>
      </w:r>
      <w:r/>
    </w:p>
    <w:p>
      <w:pPr>
        <w:pStyle w:val="1023"/>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r>
      <w:r/>
    </w:p>
    <w:p>
      <w:pPr>
        <w:pStyle w:val="1023"/>
        <w:jc w:val="left"/>
        <w:spacing w:line="360" w:lineRule="auto"/>
        <w:widowControl/>
        <w:rPr>
          <w:rFonts w:hint="eastAsia" w:ascii="宋体" w:hAnsi="宋体"/>
          <w:color w:val="000000"/>
          <w:sz w:val="24"/>
          <w:highlight w:val="none"/>
          <w:u w:val="single"/>
        </w:rPr>
      </w:pPr>
      <w:r>
        <w:rPr>
          <w:rFonts w:hint="eastAsia" w:ascii="宋体" w:hAnsi="宋体"/>
          <w:color w:val="000000"/>
          <w:sz w:val="24"/>
          <w:highlight w:val="none"/>
        </w:rPr>
        <w:t xml:space="preserve">项目名称：</w:t>
      </w:r>
      <w:r>
        <w:rPr>
          <w:rFonts w:hint="eastAsia" w:ascii="宋体" w:hAnsi="宋体"/>
          <w:color w:val="000000"/>
          <w:sz w:val="24"/>
          <w:highlight w:val="none"/>
          <w:u w:val="single"/>
        </w:rPr>
      </w:r>
      <w:r/>
    </w:p>
    <w:p>
      <w:pPr>
        <w:pStyle w:val="1023"/>
        <w:jc w:val="left"/>
        <w:spacing w:line="360" w:lineRule="auto"/>
        <w:widowControl/>
        <w:rPr>
          <w:rFonts w:hint="eastAsia" w:ascii="宋体" w:hAnsi="宋体"/>
          <w:color w:val="000000"/>
          <w:sz w:val="24"/>
          <w:highlight w:val="none"/>
        </w:rPr>
      </w:pPr>
      <w:r/>
      <w:bookmarkStart w:id="304" w:name="_Hlk162250573"/>
      <w:r>
        <w:rPr>
          <w:rFonts w:hint="eastAsia" w:ascii="宋体" w:hAnsi="宋体"/>
          <w:color w:val="000000"/>
          <w:sz w:val="24"/>
          <w:highlight w:val="none"/>
        </w:rPr>
        <w:t xml:space="preserve">采购编号：</w:t>
      </w:r>
      <w:r>
        <w:rPr>
          <w:rFonts w:hint="eastAsia" w:ascii="宋体" w:hAnsi="宋体"/>
          <w:color w:val="000000"/>
          <w:sz w:val="24"/>
          <w:highlight w:val="none"/>
        </w:rPr>
      </w:r>
      <w:r/>
    </w:p>
    <w:p>
      <w:pPr>
        <w:pStyle w:val="1023"/>
        <w:jc w:val="left"/>
        <w:spacing w:line="360" w:lineRule="auto"/>
        <w:widowControl/>
        <w:rPr>
          <w:rFonts w:hint="eastAsia" w:ascii="宋体" w:hAnsi="宋体"/>
          <w:color w:val="000000"/>
          <w:sz w:val="24"/>
          <w:highlight w:val="none"/>
        </w:rPr>
      </w:pPr>
      <w:r/>
      <w:bookmarkEnd w:id="304"/>
      <w:r>
        <w:rPr>
          <w:rFonts w:hint="eastAsia" w:ascii="宋体" w:hAnsi="宋体"/>
          <w:color w:val="000000"/>
          <w:sz w:val="24"/>
          <w:highlight w:val="none"/>
        </w:rPr>
        <w:t xml:space="preserve">内容：</w:t>
      </w:r>
      <w:r>
        <w:rPr>
          <w:rFonts w:hint="eastAsia" w:ascii="宋体" w:hAnsi="宋体"/>
          <w:color w:val="000000"/>
          <w:sz w:val="24"/>
          <w:highlight w:val="non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spacing w:line="360" w:lineRule="auto"/>
        <w:rPr>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rPr>
          <w:color w:val="000000"/>
          <w:sz w:val="24"/>
          <w:highlight w:val="none"/>
        </w:rPr>
      </w:r>
      <w:r/>
    </w:p>
    <w:p>
      <w:pPr>
        <w:pStyle w:val="1023"/>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rPr>
          <w:color w:val="000000"/>
          <w:sz w:val="24"/>
          <w:highlight w:val="none"/>
          <w:u w:val="single"/>
        </w:rPr>
      </w:r>
      <w:r/>
    </w:p>
    <w:p>
      <w:pPr>
        <w:pStyle w:val="1023"/>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rPr>
          <w:color w:val="000000"/>
          <w:sz w:val="24"/>
          <w:highlight w:val="none"/>
          <w:u w:val="singl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103"/>
        <w:rPr>
          <w:rFonts w:hint="eastAsia"/>
          <w:color w:val="000000"/>
          <w:highlight w:val="none"/>
        </w:rPr>
      </w:pPr>
      <w:r>
        <w:rPr>
          <w:rFonts w:hint="eastAsia"/>
          <w:color w:val="000000"/>
          <w:highlight w:val="none"/>
        </w:rPr>
      </w:r>
      <w:r/>
    </w:p>
    <w:p>
      <w:pPr>
        <w:pStyle w:val="1023"/>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pStyle w:val="1023"/>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rPr>
          <w:rFonts w:hint="eastAsia" w:ascii="宋体" w:hAnsi="宋体" w:cs="楷体"/>
          <w:color w:val="000000"/>
          <w:sz w:val="24"/>
          <w:highlight w:val="none"/>
        </w:rPr>
      </w:r>
      <w:r/>
    </w:p>
    <w:p>
      <w:pPr>
        <w:pStyle w:val="1023"/>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rPr>
          <w:rFonts w:hint="eastAsia" w:ascii="宋体" w:hAnsi="宋体"/>
          <w:color w:val="000000"/>
          <w:sz w:val="24"/>
          <w:highlight w:val="none"/>
        </w:rPr>
      </w:r>
      <w:r/>
    </w:p>
    <w:p>
      <w:pPr>
        <w:pStyle w:val="1023"/>
        <w:ind w:firstLine="480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时间：    年   月  日</w:t>
      </w:r>
      <w:r>
        <w:rPr>
          <w:rFonts w:hint="eastAsia" w:ascii="宋体" w:hAnsi="宋体"/>
          <w:color w:val="000000"/>
          <w:sz w:val="24"/>
          <w:highlight w:val="none"/>
        </w:rPr>
      </w:r>
      <w:r/>
    </w:p>
    <w:p>
      <w:pPr>
        <w:pStyle w:val="1054"/>
        <w:tabs>
          <w:tab w:val="left" w:pos="567" w:leader="none"/>
        </w:tabs>
        <w:rPr>
          <w:rFonts w:hint="eastAsia"/>
          <w:color w:val="000000"/>
          <w:highlight w:val="none"/>
        </w:rPr>
      </w:pPr>
      <w:r>
        <w:rPr>
          <w:rFonts w:hint="eastAsia"/>
          <w:color w:val="000000"/>
          <w:highlight w:val="none"/>
        </w:rPr>
      </w:r>
      <w:r/>
    </w:p>
    <w:p>
      <w:pPr>
        <w:pStyle w:val="1023"/>
        <w:rPr>
          <w:rFonts w:hint="eastAsia" w:ascii="宋体" w:hAnsi="宋体"/>
          <w:color w:val="000000"/>
          <w:sz w:val="24"/>
          <w:highlight w:val="none"/>
        </w:rPr>
      </w:pPr>
      <w:r>
        <w:rPr>
          <w:rFonts w:hint="eastAsia" w:ascii="宋体" w:hAnsi="宋体"/>
          <w:color w:val="000000"/>
          <w:sz w:val="24"/>
          <w:highlight w:val="none"/>
        </w:rPr>
      </w:r>
      <w:r/>
    </w:p>
    <w:sectPr>
      <w:headerReference w:type="even" r:id="rId11"/>
      <w:headerReference w:type="first" r:id="rId12"/>
      <w:footerReference w:type="even" r:id="rId20"/>
      <w:footerReference w:type="first" r:id="rId21"/>
      <w:footnotePr/>
      <w:endnotePr/>
      <w:type w:val="nextPage"/>
      <w:pgSz w:w="11905" w:h="16838" w:orient="portrait"/>
      <w:pgMar w:top="1417" w:right="1417"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Wingdings 2">
    <w:panose1 w:val="05020102010507070707"/>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Tahoma">
    <w:panose1 w:val="020B0604030504040204"/>
  </w:font>
  <w:font w:name="Calibri">
    <w:panose1 w:val="020F050202020403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w:t>
    </w:r>
    <w:r>
      <w:rPr>
        <w:rFonts w:ascii="Times New Roman"/>
      </w:rPr>
      <w:t xml:space="preserve"> 31 -</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6"/>
      </w:rPr>
      <w:framePr w:wrap="around" w:vAnchor="text" w:hAnchor="margin" w:xAlign="right" w:y="1"/>
    </w:pPr>
    <w:r>
      <w:rPr>
        <w:rStyle w:val="1096"/>
      </w:rPr>
    </w:r>
    <w:r/>
  </w:p>
  <w:p>
    <w:pPr>
      <w:pStyle w:val="1071"/>
      <w:ind w:right="360"/>
      <w:jc w:val="right"/>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fldChar w:fldCharType="begin"/>
    </w:r>
    <w:r>
      <w:instrText xml:space="preserve">PAGE   \* MERGEFORMAT</w:instrText>
    </w:r>
    <w:r>
      <w:fldChar w:fldCharType="separate"/>
    </w:r>
    <w:r>
      <w:rPr>
        <w:lang w:val="zh-CN"/>
      </w:rPr>
      <w:t xml:space="preserve">15</w:t>
    </w:r>
    <w:r>
      <w:rPr>
        <w:lang w:val="zh-CN"/>
      </w:rPr>
      <w:fldChar w:fldCharType="end"/>
    </w:r>
    <w:r/>
  </w:p>
  <w:p>
    <w:pPr>
      <w:pStyle w:val="102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fldChar w:fldCharType="begin"/>
    </w:r>
    <w:r>
      <w:instrText xml:space="preserve">PAGE   \* MERGEFORMAT</w:instrText>
    </w:r>
    <w:r>
      <w:fldChar w:fldCharType="separate"/>
    </w:r>
    <w:r>
      <w:rPr>
        <w:lang w:val="zh-CN"/>
      </w:rPr>
      <w:t xml:space="preserve">46</w:t>
    </w:r>
    <w:r>
      <w:rPr>
        <w:lang w:val="zh-CN"/>
      </w:rPr>
      <w:fldChar w:fldCharType="end"/>
    </w:r>
    <w:r/>
  </w:p>
  <w:p>
    <w:pPr>
      <w:pStyle w:val="102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fldChar w:fldCharType="begin"/>
    </w:r>
    <w:r>
      <w:instrText xml:space="preserve">PAGE   \* MERGEFORMAT</w:instrText>
    </w:r>
    <w:r>
      <w:fldChar w:fldCharType="separate"/>
    </w:r>
    <w:r>
      <w:rPr>
        <w:lang w:val="zh-CN"/>
      </w:rPr>
      <w:t xml:space="preserve">23</w:t>
    </w:r>
    <w:r>
      <w:rPr>
        <w:lang w:val="zh-CN"/>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6"/>
      </w:rPr>
      <w:framePr w:wrap="around" w:vAnchor="text" w:hAnchor="margin" w:xAlign="right" w:y="1"/>
    </w:pPr>
    <w:r>
      <w:rPr>
        <w:rStyle w:val="1096"/>
      </w:rPr>
      <w:fldChar w:fldCharType="begin"/>
    </w:r>
    <w:r>
      <w:rPr>
        <w:rStyle w:val="1096"/>
      </w:rPr>
      <w:instrText xml:space="preserve">PAGE  </w:instrText>
    </w:r>
    <w:r>
      <w:rPr>
        <w:rStyle w:val="1096"/>
      </w:rPr>
      <w:fldChar w:fldCharType="end"/>
    </w:r>
    <w:r>
      <w:rPr>
        <w:rStyle w:val="1096"/>
      </w:rPr>
    </w:r>
    <w:r/>
  </w:p>
  <w:p>
    <w:pPr>
      <w:pStyle w:val="1071"/>
      <w:ind w:right="360"/>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w:t>
    </w:r>
    <w:r>
      <w:rPr>
        <w:lang w:val="zh-CN"/>
      </w:rPr>
      <w:fldChar w:fldCharType="end"/>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rPr>
        <w:rStyle w:val="1096"/>
      </w:rPr>
      <w:framePr w:wrap="around" w:vAnchor="text" w:hAnchor="margin" w:xAlign="right" w:y="1"/>
    </w:pPr>
    <w:r>
      <w:rPr>
        <w:rStyle w:val="1096"/>
      </w:rPr>
      <w:fldChar w:fldCharType="begin"/>
    </w:r>
    <w:r>
      <w:rPr>
        <w:rStyle w:val="1096"/>
      </w:rPr>
      <w:instrText xml:space="preserve">PAGE  </w:instrText>
    </w:r>
    <w:r>
      <w:rPr>
        <w:rStyle w:val="1096"/>
      </w:rPr>
      <w:fldChar w:fldCharType="end"/>
    </w:r>
    <w:r>
      <w:rPr>
        <w:rStyle w:val="1096"/>
      </w:rPr>
    </w:r>
    <w:r/>
  </w:p>
  <w:p>
    <w:pPr>
      <w:pStyle w:val="1071"/>
      <w:ind w:right="360"/>
      <w:tabs>
        <w:tab w:val="center" w:pos="4153" w:leader="none"/>
        <w:tab w:val="right" w:pos="8306" w:leader="none"/>
      </w:tabs>
    </w:pPr>
    <w:r/>
    <w:r/>
  </w:p>
  <w:p>
    <w:pPr>
      <w:pStyle w:val="1023"/>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right"/>
      <w:tabs>
        <w:tab w:val="center" w:pos="4153" w:leader="none"/>
        <w:tab w:val="right" w:pos="8306" w:leader="none"/>
      </w:tabs>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p>
    <w:pPr>
      <w:pStyle w:val="102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102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4"/>
      <w:isLgl w:val="false"/>
      <w:suff w:val="tab"/>
      <w:lvlText w:val="%1."/>
      <w:lvlJc w:val="left"/>
      <w:pPr>
        <w:pStyle w:val="1023"/>
        <w:ind w:left="420" w:hanging="420"/>
      </w:pPr>
    </w:lvl>
    <w:lvl w:ilvl="1">
      <w:start w:val="1"/>
      <w:numFmt w:val="decimal"/>
      <w:isLgl w:val="false"/>
      <w:suff w:val="tab"/>
      <w:lvlText w:val="（%2）"/>
      <w:lvlJc w:val="left"/>
      <w:pPr>
        <w:pStyle w:val="1023"/>
        <w:ind w:left="1140" w:hanging="720"/>
        <w:tabs>
          <w:tab w:val="num" w:pos="1140" w:leader="none"/>
        </w:tabs>
      </w:pPr>
      <w:rPr>
        <w:rFonts w:hint="eastAsia"/>
      </w:r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2">
    <w:multiLevelType w:val="hybridMultilevel"/>
    <w:lvl w:ilvl="0">
      <w:start w:val="1"/>
      <w:numFmt w:val="lowerLetter"/>
      <w:pStyle w:val="1208"/>
      <w:isLgl w:val="false"/>
      <w:suff w:val="tab"/>
      <w:lvlText w:val="%1)"/>
      <w:lvlJc w:val="left"/>
      <w:pPr>
        <w:pStyle w:val="1023"/>
        <w:ind w:left="902" w:hanging="420"/>
      </w:pPr>
      <w:rPr>
        <w:color w:val="000000"/>
      </w:rPr>
    </w:lvl>
    <w:lvl w:ilvl="1">
      <w:start w:val="1"/>
      <w:numFmt w:val="lowerLetter"/>
      <w:isLgl w:val="false"/>
      <w:suff w:val="tab"/>
      <w:lvlText w:val="%2)"/>
      <w:lvlJc w:val="left"/>
      <w:pPr>
        <w:pStyle w:val="1023"/>
        <w:ind w:left="1322" w:hanging="420"/>
      </w:pPr>
    </w:lvl>
    <w:lvl w:ilvl="2">
      <w:start w:val="1"/>
      <w:numFmt w:val="lowerRoman"/>
      <w:isLgl w:val="false"/>
      <w:suff w:val="tab"/>
      <w:lvlText w:val="%3."/>
      <w:lvlJc w:val="right"/>
      <w:pPr>
        <w:pStyle w:val="1023"/>
        <w:ind w:left="1742" w:hanging="420"/>
      </w:pPr>
    </w:lvl>
    <w:lvl w:ilvl="3">
      <w:start w:val="1"/>
      <w:numFmt w:val="decimal"/>
      <w:isLgl w:val="false"/>
      <w:suff w:val="tab"/>
      <w:lvlText w:val="%4."/>
      <w:lvlJc w:val="left"/>
      <w:pPr>
        <w:pStyle w:val="1023"/>
        <w:ind w:left="2162" w:hanging="420"/>
      </w:pPr>
    </w:lvl>
    <w:lvl w:ilvl="4">
      <w:start w:val="1"/>
      <w:numFmt w:val="lowerLetter"/>
      <w:isLgl w:val="false"/>
      <w:suff w:val="tab"/>
      <w:lvlText w:val="%5)"/>
      <w:lvlJc w:val="left"/>
      <w:pPr>
        <w:pStyle w:val="1023"/>
        <w:ind w:left="2582" w:hanging="420"/>
      </w:pPr>
    </w:lvl>
    <w:lvl w:ilvl="5">
      <w:start w:val="1"/>
      <w:numFmt w:val="lowerRoman"/>
      <w:isLgl w:val="false"/>
      <w:suff w:val="tab"/>
      <w:lvlText w:val="%6."/>
      <w:lvlJc w:val="right"/>
      <w:pPr>
        <w:pStyle w:val="1023"/>
        <w:ind w:left="3002" w:hanging="420"/>
      </w:pPr>
    </w:lvl>
    <w:lvl w:ilvl="6">
      <w:start w:val="1"/>
      <w:numFmt w:val="decimal"/>
      <w:isLgl w:val="false"/>
      <w:suff w:val="tab"/>
      <w:lvlText w:val="%7."/>
      <w:lvlJc w:val="left"/>
      <w:pPr>
        <w:pStyle w:val="1023"/>
        <w:ind w:left="3422" w:hanging="420"/>
      </w:pPr>
    </w:lvl>
    <w:lvl w:ilvl="7">
      <w:start w:val="1"/>
      <w:numFmt w:val="lowerLetter"/>
      <w:isLgl w:val="false"/>
      <w:suff w:val="tab"/>
      <w:lvlText w:val="%8)"/>
      <w:lvlJc w:val="left"/>
      <w:pPr>
        <w:pStyle w:val="1023"/>
        <w:ind w:left="3842" w:hanging="420"/>
      </w:pPr>
    </w:lvl>
    <w:lvl w:ilvl="8">
      <w:start w:val="1"/>
      <w:numFmt w:val="lowerRoman"/>
      <w:isLgl w:val="false"/>
      <w:suff w:val="tab"/>
      <w:lvlText w:val="%9."/>
      <w:lvlJc w:val="right"/>
      <w:pPr>
        <w:pStyle w:val="1023"/>
        <w:ind w:left="4262" w:hanging="420"/>
      </w:pPr>
    </w:lvl>
  </w:abstractNum>
  <w:abstractNum w:abstractNumId="3">
    <w:multiLevelType w:val="hybridMultilevel"/>
    <w:lvl w:ilvl="0">
      <w:start w:val="1"/>
      <w:numFmt w:val="decimal"/>
      <w:pStyle w:val="1179"/>
      <w:isLgl w:val="false"/>
      <w:suff w:val="tab"/>
      <w:lvlText w:val="%1."/>
      <w:lvlJc w:val="left"/>
      <w:pPr>
        <w:pStyle w:val="102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28"/>
      <w:isLgl w:val="false"/>
      <w:suff w:val="nothing"/>
      <w:lvlText w:val="%1　"/>
      <w:lvlJc w:val="left"/>
      <w:pPr>
        <w:pStyle w:val="102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2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23"/>
        <w:ind w:left="-25" w:firstLine="0"/>
      </w:pPr>
      <w:rPr>
        <w:rFonts w:ascii="Times New Roman" w:hAnsi="Times New Roman" w:eastAsia="黑体"/>
        <w:b/>
        <w:i w:val="0"/>
        <w:sz w:val="28"/>
      </w:rPr>
    </w:lvl>
    <w:lvl w:ilvl="3">
      <w:start w:val="1"/>
      <w:numFmt w:val="decimal"/>
      <w:pStyle w:val="1164"/>
      <w:isLgl w:val="false"/>
      <w:suff w:val="nothing"/>
      <w:lvlText w:val="%1.%2.%3.%4　"/>
      <w:lvlJc w:val="left"/>
      <w:pPr>
        <w:pStyle w:val="102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2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23"/>
        <w:ind w:left="-25" w:firstLine="0"/>
      </w:pPr>
      <w:rPr>
        <w:rFonts w:ascii="Times New Roman" w:hAnsi="Times New Roman" w:eastAsia="宋体"/>
        <w:b/>
        <w:i w:val="0"/>
        <w:sz w:val="28"/>
      </w:rPr>
    </w:lvl>
    <w:lvl w:ilvl="6">
      <w:start w:val="1"/>
      <w:numFmt w:val="lowerLetter"/>
      <w:pStyle w:val="1185"/>
      <w:isLgl w:val="false"/>
      <w:suff w:val="tab"/>
      <w:lvlText w:val="%7) "/>
      <w:lvlJc w:val="left"/>
      <w:pPr>
        <w:pStyle w:val="1023"/>
        <w:ind w:left="-125" w:firstLine="400"/>
        <w:tabs>
          <w:tab w:val="num" w:pos="635" w:leader="none"/>
        </w:tabs>
      </w:pPr>
      <w:rPr>
        <w:rFonts w:ascii="Times New Roman" w:hAnsi="Times New Roman" w:eastAsia="宋体"/>
        <w:b/>
        <w:i w:val="0"/>
        <w:color w:val="000000"/>
        <w:sz w:val="28"/>
        <w:u w:val="none"/>
      </w:rPr>
    </w:lvl>
    <w:lvl w:ilvl="7">
      <w:start w:val="1"/>
      <w:numFmt w:val="decimal"/>
      <w:pStyle w:val="1148"/>
      <w:isLgl w:val="false"/>
      <w:suff w:val="tab"/>
      <w:lvlText w:val="%8) "/>
      <w:lvlJc w:val="left"/>
      <w:pPr>
        <w:pStyle w:val="102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23"/>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23"/>
        <w:ind w:left="768" w:hanging="360"/>
        <w:tabs>
          <w:tab w:val="num" w:pos="768" w:leader="none"/>
        </w:tabs>
      </w:pPr>
      <w:rPr>
        <w:rFonts w:hint="eastAsia"/>
      </w:rPr>
    </w:lvl>
    <w:lvl w:ilvl="1">
      <w:start w:val="1"/>
      <w:numFmt w:val="decimal"/>
      <w:pStyle w:val="1166"/>
      <w:isLgl w:val="false"/>
      <w:suff w:val="tab"/>
      <w:lvlText w:val="%2、"/>
      <w:lvlJc w:val="left"/>
      <w:pPr>
        <w:pStyle w:val="1023"/>
        <w:ind w:left="1188" w:hanging="360"/>
        <w:tabs>
          <w:tab w:val="num" w:pos="1188" w:leader="none"/>
        </w:tabs>
      </w:pPr>
      <w:rPr>
        <w:rFonts w:hint="eastAsia"/>
      </w:rPr>
    </w:lvl>
    <w:lvl w:ilvl="2">
      <w:start w:val="1"/>
      <w:numFmt w:val="decimal"/>
      <w:isLgl w:val="false"/>
      <w:suff w:val="tab"/>
      <w:lvlText w:val="（%3）"/>
      <w:lvlJc w:val="left"/>
      <w:pPr>
        <w:pStyle w:val="1023"/>
        <w:ind w:left="1968" w:hanging="720"/>
        <w:tabs>
          <w:tab w:val="num" w:pos="1968" w:leader="none"/>
        </w:tabs>
      </w:pPr>
      <w:rPr>
        <w:rFonts w:hint="eastAsia"/>
        <w:u w:val="none"/>
      </w:rPr>
    </w:lvl>
    <w:lvl w:ilvl="3">
      <w:start w:val="1"/>
      <w:numFmt w:val="decimal"/>
      <w:isLgl w:val="false"/>
      <w:suff w:val="tab"/>
      <w:lvlText w:val="%4."/>
      <w:lvlJc w:val="left"/>
      <w:pPr>
        <w:pStyle w:val="1023"/>
        <w:ind w:left="2088" w:hanging="420"/>
        <w:tabs>
          <w:tab w:val="num" w:pos="2088" w:leader="none"/>
        </w:tabs>
      </w:pPr>
    </w:lvl>
    <w:lvl w:ilvl="4">
      <w:start w:val="1"/>
      <w:numFmt w:val="lowerLetter"/>
      <w:isLgl w:val="false"/>
      <w:suff w:val="tab"/>
      <w:lvlText w:val="%5)"/>
      <w:lvlJc w:val="left"/>
      <w:pPr>
        <w:pStyle w:val="1023"/>
        <w:ind w:left="2508" w:hanging="420"/>
        <w:tabs>
          <w:tab w:val="num" w:pos="2508" w:leader="none"/>
        </w:tabs>
      </w:pPr>
    </w:lvl>
    <w:lvl w:ilvl="5">
      <w:start w:val="1"/>
      <w:numFmt w:val="lowerRoman"/>
      <w:isLgl w:val="false"/>
      <w:suff w:val="tab"/>
      <w:lvlText w:val="%6."/>
      <w:lvlJc w:val="right"/>
      <w:pPr>
        <w:pStyle w:val="1023"/>
        <w:ind w:left="2928" w:hanging="420"/>
        <w:tabs>
          <w:tab w:val="num" w:pos="2928" w:leader="none"/>
        </w:tabs>
      </w:pPr>
    </w:lvl>
    <w:lvl w:ilvl="6">
      <w:start w:val="1"/>
      <w:numFmt w:val="decimal"/>
      <w:isLgl w:val="false"/>
      <w:suff w:val="tab"/>
      <w:lvlText w:val="%7."/>
      <w:lvlJc w:val="left"/>
      <w:pPr>
        <w:pStyle w:val="1023"/>
        <w:ind w:left="3348" w:hanging="420"/>
        <w:tabs>
          <w:tab w:val="num" w:pos="3348" w:leader="none"/>
        </w:tabs>
      </w:pPr>
    </w:lvl>
    <w:lvl w:ilvl="7">
      <w:start w:val="1"/>
      <w:numFmt w:val="lowerLetter"/>
      <w:isLgl w:val="false"/>
      <w:suff w:val="tab"/>
      <w:lvlText w:val="%8)"/>
      <w:lvlJc w:val="left"/>
      <w:pPr>
        <w:pStyle w:val="1023"/>
        <w:ind w:left="3768" w:hanging="420"/>
        <w:tabs>
          <w:tab w:val="num" w:pos="3768" w:leader="none"/>
        </w:tabs>
      </w:pPr>
    </w:lvl>
    <w:lvl w:ilvl="8">
      <w:start w:val="1"/>
      <w:numFmt w:val="lowerRoman"/>
      <w:isLgl w:val="false"/>
      <w:suff w:val="tab"/>
      <w:lvlText w:val="%9."/>
      <w:lvlJc w:val="right"/>
      <w:pPr>
        <w:pStyle w:val="1023"/>
        <w:ind w:left="4188" w:hanging="420"/>
        <w:tabs>
          <w:tab w:val="num" w:pos="4188" w:leader="none"/>
        </w:tabs>
      </w:pPr>
    </w:lvl>
  </w:abstractNum>
  <w:abstractNum w:abstractNumId="6">
    <w:multiLevelType w:val="hybridMultilevel"/>
    <w:lvl w:ilvl="0">
      <w:start w:val="1"/>
      <w:numFmt w:val="decimal"/>
      <w:pStyle w:val="1133"/>
      <w:isLgl w:val="false"/>
      <w:suff w:val="tab"/>
      <w:lvlText w:val="%1)"/>
      <w:lvlJc w:val="left"/>
      <w:pPr>
        <w:pStyle w:val="1023"/>
        <w:ind w:left="420" w:hanging="420"/>
      </w:pPr>
    </w:lvl>
    <w:lvl w:ilvl="1">
      <w:start w:val="1"/>
      <w:numFmt w:val="lowerLetter"/>
      <w:isLgl w:val="false"/>
      <w:suff w:val="tab"/>
      <w:lvlText w:val="%2)"/>
      <w:lvlJc w:val="left"/>
      <w:pPr>
        <w:pStyle w:val="1023"/>
        <w:ind w:left="840" w:hanging="420"/>
      </w:pPr>
    </w:lvl>
    <w:lvl w:ilvl="2">
      <w:start w:val="1"/>
      <w:numFmt w:val="lowerRoman"/>
      <w:isLgl w:val="false"/>
      <w:suff w:val="tab"/>
      <w:lvlText w:val="%3."/>
      <w:lvlJc w:val="right"/>
      <w:pPr>
        <w:pStyle w:val="1023"/>
        <w:ind w:left="1260" w:hanging="420"/>
      </w:pPr>
    </w:lvl>
    <w:lvl w:ilvl="3">
      <w:start w:val="1"/>
      <w:numFmt w:val="decimal"/>
      <w:isLgl w:val="false"/>
      <w:suff w:val="tab"/>
      <w:lvlText w:val="%4."/>
      <w:lvlJc w:val="left"/>
      <w:pPr>
        <w:pStyle w:val="1023"/>
        <w:ind w:left="1680" w:hanging="420"/>
      </w:pPr>
    </w:lvl>
    <w:lvl w:ilvl="4">
      <w:start w:val="1"/>
      <w:numFmt w:val="lowerLetter"/>
      <w:isLgl w:val="false"/>
      <w:suff w:val="tab"/>
      <w:lvlText w:val="%5)"/>
      <w:lvlJc w:val="left"/>
      <w:pPr>
        <w:pStyle w:val="1023"/>
        <w:ind w:left="2100" w:hanging="420"/>
      </w:pPr>
    </w:lvl>
    <w:lvl w:ilvl="5">
      <w:start w:val="1"/>
      <w:numFmt w:val="lowerRoman"/>
      <w:isLgl w:val="false"/>
      <w:suff w:val="tab"/>
      <w:lvlText w:val="%6."/>
      <w:lvlJc w:val="right"/>
      <w:pPr>
        <w:pStyle w:val="1023"/>
        <w:ind w:left="2520" w:hanging="420"/>
      </w:pPr>
    </w:lvl>
    <w:lvl w:ilvl="6">
      <w:start w:val="1"/>
      <w:numFmt w:val="decimal"/>
      <w:isLgl w:val="false"/>
      <w:suff w:val="tab"/>
      <w:lvlText w:val="%7."/>
      <w:lvlJc w:val="left"/>
      <w:pPr>
        <w:pStyle w:val="1023"/>
        <w:ind w:left="2940" w:hanging="420"/>
      </w:pPr>
    </w:lvl>
    <w:lvl w:ilvl="7">
      <w:start w:val="1"/>
      <w:numFmt w:val="lowerLetter"/>
      <w:isLgl w:val="false"/>
      <w:suff w:val="tab"/>
      <w:lvlText w:val="%8)"/>
      <w:lvlJc w:val="left"/>
      <w:pPr>
        <w:pStyle w:val="1023"/>
        <w:ind w:left="3360" w:hanging="420"/>
      </w:pPr>
    </w:lvl>
    <w:lvl w:ilvl="8">
      <w:start w:val="1"/>
      <w:numFmt w:val="lowerRoman"/>
      <w:isLgl w:val="false"/>
      <w:suff w:val="tab"/>
      <w:lvlText w:val="%9."/>
      <w:lvlJc w:val="right"/>
      <w:pPr>
        <w:pStyle w:val="1023"/>
        <w:ind w:left="3780" w:hanging="420"/>
      </w:pPr>
    </w:lvl>
  </w:abstractNum>
  <w:abstractNum w:abstractNumId="7">
    <w:multiLevelType w:val="hybridMultilevel"/>
    <w:lvl w:ilvl="0">
      <w:start w:val="1"/>
      <w:numFmt w:val="decimal"/>
      <w:pStyle w:val="1233"/>
      <w:isLgl w:val="false"/>
      <w:suff w:val="tab"/>
      <w:lvlText w:val="%1"/>
      <w:lvlJc w:val="left"/>
      <w:pPr>
        <w:pStyle w:val="1023"/>
        <w:ind w:left="680" w:hanging="680"/>
      </w:pPr>
      <w:rPr>
        <w:rFonts w:hint="eastAsia" w:ascii="宋体" w:hAnsi="宋体" w:eastAsia="宋体"/>
      </w:rPr>
    </w:lvl>
    <w:lvl w:ilvl="1">
      <w:start w:val="1"/>
      <w:numFmt w:val="decimal"/>
      <w:pStyle w:val="1234"/>
      <w:isLgl w:val="false"/>
      <w:suff w:val="tab"/>
      <w:lvlText w:val="%1.%2"/>
      <w:lvlJc w:val="left"/>
      <w:pPr>
        <w:pStyle w:val="1023"/>
        <w:ind w:left="851" w:hanging="851"/>
      </w:pPr>
      <w:rPr>
        <w:rFonts w:hint="eastAsia" w:ascii="宋体" w:hAnsi="宋体" w:eastAsia="宋体"/>
        <w:color w:val="000000"/>
      </w:rPr>
    </w:lvl>
    <w:lvl w:ilvl="2">
      <w:start w:val="1"/>
      <w:numFmt w:val="decimal"/>
      <w:pStyle w:val="1235"/>
      <w:isLgl w:val="false"/>
      <w:suff w:val="tab"/>
      <w:lvlText w:val="%1.%2.%3"/>
      <w:lvlJc w:val="left"/>
      <w:pPr>
        <w:pStyle w:val="1023"/>
        <w:ind w:left="851" w:hanging="851"/>
      </w:pPr>
      <w:rPr>
        <w:rFonts w:hint="eastAsia"/>
      </w:rPr>
    </w:lvl>
    <w:lvl w:ilvl="3">
      <w:start w:val="1"/>
      <w:numFmt w:val="decimal"/>
      <w:isLgl w:val="false"/>
      <w:suff w:val="tab"/>
      <w:lvlText w:val="%1.%2.%3.%4"/>
      <w:lvlJc w:val="left"/>
      <w:pPr>
        <w:pStyle w:val="1023"/>
        <w:ind w:left="680" w:hanging="680"/>
      </w:pPr>
      <w:rPr>
        <w:rFonts w:hint="eastAsia"/>
      </w:rPr>
    </w:lvl>
    <w:lvl w:ilvl="4">
      <w:start w:val="1"/>
      <w:numFmt w:val="decimal"/>
      <w:isLgl w:val="false"/>
      <w:suff w:val="tab"/>
      <w:lvlText w:val="%1.%2.%3.%4.%5"/>
      <w:lvlJc w:val="left"/>
      <w:pPr>
        <w:pStyle w:val="1023"/>
        <w:ind w:left="680" w:hanging="680"/>
      </w:pPr>
      <w:rPr>
        <w:rFonts w:hint="eastAsia"/>
      </w:rPr>
    </w:lvl>
    <w:lvl w:ilvl="5">
      <w:start w:val="1"/>
      <w:numFmt w:val="decimal"/>
      <w:isLgl w:val="false"/>
      <w:suff w:val="tab"/>
      <w:lvlText w:val="%1.%2.%3.%4.%5.%6"/>
      <w:lvlJc w:val="left"/>
      <w:pPr>
        <w:pStyle w:val="1023"/>
        <w:ind w:left="680" w:hanging="680"/>
      </w:pPr>
      <w:rPr>
        <w:rFonts w:hint="eastAsia"/>
      </w:rPr>
    </w:lvl>
    <w:lvl w:ilvl="6">
      <w:start w:val="1"/>
      <w:numFmt w:val="decimal"/>
      <w:isLgl w:val="false"/>
      <w:suff w:val="tab"/>
      <w:lvlText w:val="%1.%2.%3.%4.%5.%6.%7"/>
      <w:lvlJc w:val="left"/>
      <w:pPr>
        <w:pStyle w:val="1023"/>
        <w:ind w:left="680" w:hanging="680"/>
      </w:pPr>
      <w:rPr>
        <w:rFonts w:hint="eastAsia"/>
      </w:rPr>
    </w:lvl>
    <w:lvl w:ilvl="7">
      <w:start w:val="1"/>
      <w:numFmt w:val="decimal"/>
      <w:isLgl w:val="false"/>
      <w:suff w:val="tab"/>
      <w:lvlText w:val="%1.%2.%3.%4.%5.%6.%7.%8"/>
      <w:lvlJc w:val="left"/>
      <w:pPr>
        <w:pStyle w:val="1023"/>
        <w:ind w:left="680" w:hanging="680"/>
      </w:pPr>
      <w:rPr>
        <w:rFonts w:hint="eastAsia"/>
      </w:rPr>
    </w:lvl>
    <w:lvl w:ilvl="8">
      <w:start w:val="1"/>
      <w:numFmt w:val="decimal"/>
      <w:isLgl w:val="false"/>
      <w:suff w:val="tab"/>
      <w:lvlText w:val="%1.%2.%3.%4.%5.%6.%7.%8.%9"/>
      <w:lvlJc w:val="left"/>
      <w:pPr>
        <w:pStyle w:val="1023"/>
        <w:ind w:left="680" w:hanging="680"/>
      </w:pPr>
      <w:rPr>
        <w:rFonts w:hint="eastAsia"/>
      </w:rPr>
    </w:lvl>
  </w:abstractNum>
  <w:abstractNum w:abstractNumId="8">
    <w:multiLevelType w:val="hybridMultilevel"/>
    <w:lvl w:ilvl="0">
      <w:start w:val="1"/>
      <w:numFmt w:val="decimal"/>
      <w:isLgl w:val="false"/>
      <w:suff w:val="tab"/>
      <w:lvlText w:val="%1."/>
      <w:lvlJc w:val="left"/>
      <w:pPr>
        <w:pStyle w:val="1023"/>
        <w:ind w:left="1965" w:hanging="705"/>
        <w:tabs>
          <w:tab w:val="num" w:pos="1965" w:leader="none"/>
        </w:tabs>
      </w:pPr>
    </w:lvl>
    <w:lvl w:ilvl="1">
      <w:start w:val="1"/>
      <w:numFmt w:val="decimal"/>
      <w:isLgl w:val="false"/>
      <w:suff w:val="tab"/>
      <w:lvlText w:val="（%2）"/>
      <w:lvlJc w:val="left"/>
      <w:pPr>
        <w:pStyle w:val="1023"/>
        <w:ind w:left="1140" w:hanging="720"/>
        <w:tabs>
          <w:tab w:val="num" w:pos="1140" w:leader="none"/>
        </w:tabs>
      </w:pPr>
    </w:lvl>
    <w:lvl w:ilvl="2">
      <w:start w:val="1"/>
      <w:numFmt w:val="lowerRoman"/>
      <w:isLgl w:val="false"/>
      <w:suff w:val="tab"/>
      <w:lvlText w:val="%3."/>
      <w:lvlJc w:val="right"/>
      <w:pPr>
        <w:pStyle w:val="1023"/>
        <w:ind w:left="1260" w:hanging="420"/>
        <w:tabs>
          <w:tab w:val="num" w:pos="1260" w:leader="none"/>
        </w:tabs>
      </w:pPr>
    </w:lvl>
    <w:lvl w:ilvl="3">
      <w:start w:val="1"/>
      <w:numFmt w:val="decimal"/>
      <w:isLgl w:val="false"/>
      <w:suff w:val="tab"/>
      <w:lvlText w:val="%4."/>
      <w:lvlJc w:val="left"/>
      <w:pPr>
        <w:pStyle w:val="1023"/>
        <w:ind w:left="1680" w:hanging="420"/>
        <w:tabs>
          <w:tab w:val="num" w:pos="1680" w:leader="none"/>
        </w:tabs>
      </w:pPr>
    </w:lvl>
    <w:lvl w:ilvl="4">
      <w:start w:val="1"/>
      <w:numFmt w:val="lowerLetter"/>
      <w:isLgl w:val="false"/>
      <w:suff w:val="tab"/>
      <w:lvlText w:val="%5)"/>
      <w:lvlJc w:val="left"/>
      <w:pPr>
        <w:pStyle w:val="1023"/>
        <w:ind w:left="2100" w:hanging="420"/>
        <w:tabs>
          <w:tab w:val="num" w:pos="2100" w:leader="none"/>
        </w:tabs>
      </w:pPr>
    </w:lvl>
    <w:lvl w:ilvl="5">
      <w:start w:val="1"/>
      <w:numFmt w:val="lowerRoman"/>
      <w:isLgl w:val="false"/>
      <w:suff w:val="tab"/>
      <w:lvlText w:val="%6."/>
      <w:lvlJc w:val="right"/>
      <w:pPr>
        <w:pStyle w:val="1023"/>
        <w:ind w:left="2520" w:hanging="420"/>
        <w:tabs>
          <w:tab w:val="num" w:pos="2520" w:leader="none"/>
        </w:tabs>
      </w:pPr>
    </w:lvl>
    <w:lvl w:ilvl="6">
      <w:start w:val="1"/>
      <w:numFmt w:val="decimal"/>
      <w:isLgl w:val="false"/>
      <w:suff w:val="tab"/>
      <w:lvlText w:val="%7."/>
      <w:lvlJc w:val="left"/>
      <w:pPr>
        <w:pStyle w:val="1023"/>
        <w:ind w:left="2940" w:hanging="420"/>
        <w:tabs>
          <w:tab w:val="num" w:pos="2940" w:leader="none"/>
        </w:tabs>
      </w:pPr>
    </w:lvl>
    <w:lvl w:ilvl="7">
      <w:start w:val="1"/>
      <w:numFmt w:val="lowerLetter"/>
      <w:isLgl w:val="false"/>
      <w:suff w:val="tab"/>
      <w:lvlText w:val="%8)"/>
      <w:lvlJc w:val="left"/>
      <w:pPr>
        <w:pStyle w:val="1023"/>
        <w:ind w:left="3360" w:hanging="420"/>
        <w:tabs>
          <w:tab w:val="num" w:pos="3360" w:leader="none"/>
        </w:tabs>
      </w:pPr>
    </w:lvl>
    <w:lvl w:ilvl="8">
      <w:start w:val="1"/>
      <w:numFmt w:val="lowerRoman"/>
      <w:isLgl w:val="false"/>
      <w:suff w:val="tab"/>
      <w:lvlText w:val="%9."/>
      <w:lvlJc w:val="right"/>
      <w:pPr>
        <w:pStyle w:val="1023"/>
        <w:ind w:left="3780" w:hanging="420"/>
        <w:tabs>
          <w:tab w:val="num" w:pos="3780" w:leader="none"/>
        </w:tabs>
      </w:pPr>
    </w:lvl>
  </w:abstractNum>
  <w:abstractNum w:abstractNumId="9">
    <w:multiLevelType w:val="hybridMultilevel"/>
    <w:lvl w:ilvl="0">
      <w:start w:val="1"/>
      <w:numFmt w:val="decimal"/>
      <w:isLgl w:val="false"/>
      <w:suff w:val="tab"/>
      <w:lvlText w:val="%1."/>
      <w:lvlJc w:val="left"/>
      <w:pPr>
        <w:pStyle w:val="1023"/>
        <w:ind w:left="920" w:hanging="360"/>
        <w:tabs>
          <w:tab w:val="num" w:pos="920" w:leader="none"/>
        </w:tabs>
      </w:pPr>
    </w:lvl>
    <w:lvl w:ilvl="1">
      <w:start w:val="1"/>
      <w:numFmt w:val="lowerLetter"/>
      <w:isLgl w:val="false"/>
      <w:suff w:val="tab"/>
      <w:lvlText w:val="%2)"/>
      <w:lvlJc w:val="left"/>
      <w:pPr>
        <w:pStyle w:val="1023"/>
        <w:ind w:left="1400" w:hanging="420"/>
        <w:tabs>
          <w:tab w:val="num" w:pos="1400" w:leader="none"/>
        </w:tabs>
      </w:pPr>
    </w:lvl>
    <w:lvl w:ilvl="2">
      <w:start w:val="1"/>
      <w:numFmt w:val="lowerRoman"/>
      <w:isLgl w:val="false"/>
      <w:suff w:val="tab"/>
      <w:lvlText w:val="%3."/>
      <w:lvlJc w:val="right"/>
      <w:pPr>
        <w:pStyle w:val="1023"/>
        <w:ind w:left="1820" w:hanging="420"/>
        <w:tabs>
          <w:tab w:val="num" w:pos="1820" w:leader="none"/>
        </w:tabs>
      </w:pPr>
    </w:lvl>
    <w:lvl w:ilvl="3">
      <w:start w:val="1"/>
      <w:numFmt w:val="decimal"/>
      <w:isLgl w:val="false"/>
      <w:suff w:val="tab"/>
      <w:lvlText w:val="%4."/>
      <w:lvlJc w:val="left"/>
      <w:pPr>
        <w:pStyle w:val="1023"/>
        <w:ind w:left="2240" w:hanging="420"/>
        <w:tabs>
          <w:tab w:val="num" w:pos="2240" w:leader="none"/>
        </w:tabs>
      </w:pPr>
    </w:lvl>
    <w:lvl w:ilvl="4">
      <w:start w:val="1"/>
      <w:numFmt w:val="lowerLetter"/>
      <w:isLgl w:val="false"/>
      <w:suff w:val="tab"/>
      <w:lvlText w:val="%5)"/>
      <w:lvlJc w:val="left"/>
      <w:pPr>
        <w:pStyle w:val="1023"/>
        <w:ind w:left="2660" w:hanging="420"/>
        <w:tabs>
          <w:tab w:val="num" w:pos="2660" w:leader="none"/>
        </w:tabs>
      </w:pPr>
    </w:lvl>
    <w:lvl w:ilvl="5">
      <w:start w:val="1"/>
      <w:numFmt w:val="lowerRoman"/>
      <w:isLgl w:val="false"/>
      <w:suff w:val="tab"/>
      <w:lvlText w:val="%6."/>
      <w:lvlJc w:val="right"/>
      <w:pPr>
        <w:pStyle w:val="1023"/>
        <w:ind w:left="3080" w:hanging="420"/>
        <w:tabs>
          <w:tab w:val="num" w:pos="3080" w:leader="none"/>
        </w:tabs>
      </w:pPr>
    </w:lvl>
    <w:lvl w:ilvl="6">
      <w:start w:val="1"/>
      <w:numFmt w:val="decimal"/>
      <w:isLgl w:val="false"/>
      <w:suff w:val="tab"/>
      <w:lvlText w:val="%7."/>
      <w:lvlJc w:val="left"/>
      <w:pPr>
        <w:pStyle w:val="1023"/>
        <w:ind w:left="3500" w:hanging="420"/>
        <w:tabs>
          <w:tab w:val="num" w:pos="3500" w:leader="none"/>
        </w:tabs>
      </w:pPr>
    </w:lvl>
    <w:lvl w:ilvl="7">
      <w:start w:val="1"/>
      <w:numFmt w:val="lowerLetter"/>
      <w:isLgl w:val="false"/>
      <w:suff w:val="tab"/>
      <w:lvlText w:val="%8)"/>
      <w:lvlJc w:val="left"/>
      <w:pPr>
        <w:pStyle w:val="1023"/>
        <w:ind w:left="3920" w:hanging="420"/>
        <w:tabs>
          <w:tab w:val="num" w:pos="3920" w:leader="none"/>
        </w:tabs>
      </w:pPr>
    </w:lvl>
    <w:lvl w:ilvl="8">
      <w:start w:val="1"/>
      <w:numFmt w:val="lowerRoman"/>
      <w:isLgl w:val="false"/>
      <w:suff w:val="tab"/>
      <w:lvlText w:val="%9."/>
      <w:lvlJc w:val="right"/>
      <w:pPr>
        <w:pStyle w:val="1023"/>
        <w:ind w:left="4340" w:hanging="420"/>
        <w:tabs>
          <w:tab w:val="num" w:pos="4340" w:leader="none"/>
        </w:tabs>
      </w:pPr>
    </w:lvl>
  </w:abstractNum>
  <w:abstractNum w:abstractNumId="10">
    <w:multiLevelType w:val="hybridMultilevel"/>
    <w:lvl w:ilvl="0">
      <w:start w:val="1"/>
      <w:numFmt w:val="chineseCounting"/>
      <w:isLgl w:val="false"/>
      <w:suff w:val="nothing"/>
      <w:lvlText w:val="%1、"/>
      <w:lvlJc w:val="left"/>
      <w:pPr>
        <w:pStyle w:val="1023"/>
        <w:ind w:left="0" w:firstLine="0"/>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0"/>
  </w:num>
  <w:num w:numId="9">
    <w:abstractNumId w:val="9"/>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3"/>
    <w:link w:val="1023"/>
    <w:qFormat/>
    <w:pPr>
      <w:jc w:val="both"/>
      <w:widowControl w:val="off"/>
    </w:pPr>
    <w:rPr>
      <w:sz w:val="21"/>
      <w:szCs w:val="24"/>
      <w:lang w:val="en-US" w:eastAsia="zh-CN" w:bidi="ar-SA"/>
    </w:rPr>
  </w:style>
  <w:style w:type="paragraph" w:styleId="1024">
    <w:name w:val="标题 1"/>
    <w:basedOn w:val="1023"/>
    <w:next w:val="1023"/>
    <w:link w:val="1035"/>
    <w:qFormat/>
    <w:pPr>
      <w:jc w:val="center"/>
      <w:keepLines/>
      <w:keepNext/>
      <w:spacing w:before="240" w:after="120" w:line="300" w:lineRule="auto"/>
      <w:outlineLvl w:val="0"/>
    </w:pPr>
    <w:rPr>
      <w:rFonts w:ascii="宋体"/>
      <w:b/>
      <w:sz w:val="32"/>
      <w:szCs w:val="20"/>
    </w:rPr>
  </w:style>
  <w:style w:type="paragraph" w:styleId="1025">
    <w:name w:val="标题 2"/>
    <w:basedOn w:val="1023"/>
    <w:next w:val="1037"/>
    <w:link w:val="1036"/>
    <w:qFormat/>
    <w:pPr>
      <w:jc w:val="center"/>
      <w:keepLines/>
      <w:keepNext/>
      <w:spacing w:before="120" w:line="300" w:lineRule="auto"/>
      <w:tabs>
        <w:tab w:val="right" w:pos="8937" w:leader="dot"/>
      </w:tabs>
      <w:outlineLvl w:val="1"/>
    </w:pPr>
    <w:rPr>
      <w:rFonts w:ascii="Arial" w:hAnsi="Arial" w:eastAsia="黑体"/>
      <w:b/>
      <w:sz w:val="30"/>
      <w:szCs w:val="20"/>
    </w:rPr>
  </w:style>
  <w:style w:type="paragraph" w:styleId="1026">
    <w:name w:val="标题 3"/>
    <w:basedOn w:val="1023"/>
    <w:next w:val="1023"/>
    <w:link w:val="1039"/>
    <w:qFormat/>
    <w:pPr>
      <w:jc w:val="left"/>
      <w:keepLines/>
      <w:keepNext/>
      <w:spacing w:before="360" w:after="120"/>
      <w:outlineLvl w:val="2"/>
    </w:pPr>
    <w:rPr>
      <w:rFonts w:ascii="宋体"/>
      <w:b/>
      <w:sz w:val="24"/>
      <w:szCs w:val="20"/>
      <w:u w:val="single"/>
    </w:rPr>
  </w:style>
  <w:style w:type="paragraph" w:styleId="1027">
    <w:name w:val="标题 4"/>
    <w:basedOn w:val="1023"/>
    <w:next w:val="1023"/>
    <w:link w:val="1040"/>
    <w:qFormat/>
    <w:pPr>
      <w:keepLines/>
      <w:keepNext/>
      <w:spacing w:before="280" w:after="290" w:line="376" w:lineRule="atLeast"/>
      <w:outlineLvl w:val="3"/>
    </w:pPr>
    <w:rPr>
      <w:rFonts w:ascii="Arial" w:hAnsi="Arial" w:eastAsia="黑体"/>
      <w:b/>
      <w:sz w:val="28"/>
      <w:szCs w:val="20"/>
    </w:rPr>
  </w:style>
  <w:style w:type="paragraph" w:styleId="1028">
    <w:name w:val="标题 5"/>
    <w:basedOn w:val="1023"/>
    <w:next w:val="1023"/>
    <w:link w:val="1041"/>
    <w:qFormat/>
    <w:pPr>
      <w:keepLines/>
      <w:keepNext/>
      <w:spacing w:before="280" w:after="290" w:line="376" w:lineRule="atLeast"/>
      <w:outlineLvl w:val="4"/>
    </w:pPr>
    <w:rPr>
      <w:b/>
      <w:sz w:val="28"/>
      <w:szCs w:val="20"/>
    </w:rPr>
  </w:style>
  <w:style w:type="paragraph" w:styleId="1029">
    <w:name w:val="标题 6"/>
    <w:basedOn w:val="1023"/>
    <w:next w:val="1023"/>
    <w:link w:val="1042"/>
    <w:qFormat/>
    <w:pPr>
      <w:keepLines/>
      <w:keepNext/>
      <w:spacing w:before="240" w:after="64" w:line="320" w:lineRule="atLeast"/>
      <w:outlineLvl w:val="5"/>
    </w:pPr>
    <w:rPr>
      <w:rFonts w:ascii="Arial" w:hAnsi="Arial" w:eastAsia="黑体"/>
      <w:b/>
      <w:sz w:val="24"/>
      <w:szCs w:val="20"/>
    </w:rPr>
  </w:style>
  <w:style w:type="paragraph" w:styleId="1030">
    <w:name w:val="标题 7"/>
    <w:basedOn w:val="1023"/>
    <w:next w:val="1023"/>
    <w:link w:val="1043"/>
    <w:qFormat/>
    <w:pPr>
      <w:keepLines/>
      <w:keepNext/>
      <w:spacing w:before="240" w:after="64" w:line="320" w:lineRule="atLeast"/>
      <w:outlineLvl w:val="6"/>
    </w:pPr>
    <w:rPr>
      <w:b/>
      <w:sz w:val="24"/>
      <w:szCs w:val="20"/>
    </w:rPr>
  </w:style>
  <w:style w:type="paragraph" w:styleId="1031">
    <w:name w:val="标题 8"/>
    <w:basedOn w:val="1023"/>
    <w:next w:val="1023"/>
    <w:link w:val="1044"/>
    <w:qFormat/>
    <w:pPr>
      <w:keepLines/>
      <w:keepNext/>
      <w:spacing w:before="240" w:after="64" w:line="320" w:lineRule="atLeast"/>
      <w:outlineLvl w:val="7"/>
    </w:pPr>
    <w:rPr>
      <w:rFonts w:ascii="Arial" w:hAnsi="Arial" w:eastAsia="黑体"/>
      <w:sz w:val="24"/>
      <w:szCs w:val="20"/>
    </w:rPr>
  </w:style>
  <w:style w:type="paragraph" w:styleId="1032">
    <w:name w:val="标题 9"/>
    <w:basedOn w:val="1023"/>
    <w:next w:val="1023"/>
    <w:link w:val="1045"/>
    <w:qFormat/>
    <w:pPr>
      <w:keepLines/>
      <w:keepNext/>
      <w:spacing w:before="240" w:after="64" w:line="320" w:lineRule="atLeast"/>
      <w:outlineLvl w:val="8"/>
    </w:pPr>
    <w:rPr>
      <w:rFonts w:ascii="Arial" w:hAnsi="Arial" w:eastAsia="黑体"/>
      <w:szCs w:val="20"/>
    </w:rPr>
  </w:style>
  <w:style w:type="character" w:styleId="1033">
    <w:name w:val="默认段落字体"/>
    <w:next w:val="1033"/>
    <w:link w:val="1023"/>
    <w:uiPriority w:val="1"/>
    <w:unhideWhenUsed/>
    <w:qFormat/>
  </w:style>
  <w:style w:type="table" w:styleId="1034">
    <w:name w:val="普通表格"/>
    <w:next w:val="1034"/>
    <w:link w:val="1023"/>
    <w:uiPriority w:val="99"/>
    <w:unhideWhenUsed/>
    <w:qFormat/>
    <w:tblPr/>
  </w:style>
  <w:style w:type="character" w:styleId="1035">
    <w:name w:val="标题 1 字符1"/>
    <w:next w:val="1035"/>
    <w:link w:val="1024"/>
    <w:uiPriority w:val="99"/>
    <w:qFormat/>
    <w:rPr>
      <w:rFonts w:eastAsia="黑体"/>
      <w:sz w:val="30"/>
    </w:rPr>
  </w:style>
  <w:style w:type="character" w:styleId="1036">
    <w:name w:val="标题 2 字符"/>
    <w:next w:val="1036"/>
    <w:link w:val="1025"/>
    <w:qFormat/>
    <w:rPr>
      <w:rFonts w:ascii="Arial" w:hAnsi="Arial" w:eastAsia="黑体"/>
      <w:b/>
      <w:sz w:val="30"/>
      <w:lang w:val="en-US" w:eastAsia="zh-CN" w:bidi="ar-SA"/>
    </w:rPr>
  </w:style>
  <w:style w:type="paragraph" w:styleId="1037">
    <w:name w:val="正文缩进"/>
    <w:basedOn w:val="1023"/>
    <w:next w:val="1037"/>
    <w:link w:val="1038"/>
    <w:qFormat/>
    <w:pPr>
      <w:ind w:firstLine="420"/>
      <w:jc w:val="left"/>
    </w:pPr>
    <w:rPr>
      <w:rFonts w:ascii="宋体"/>
      <w:sz w:val="24"/>
    </w:rPr>
  </w:style>
  <w:style w:type="character" w:styleId="1038">
    <w:name w:val="正文缩进 字符"/>
    <w:next w:val="1038"/>
    <w:link w:val="1037"/>
    <w:qFormat/>
    <w:rPr>
      <w:rFonts w:ascii="宋体" w:eastAsia="宋体"/>
      <w:sz w:val="24"/>
      <w:szCs w:val="24"/>
      <w:lang w:val="en-US" w:eastAsia="zh-CN" w:bidi="ar-SA"/>
    </w:rPr>
  </w:style>
  <w:style w:type="character" w:styleId="1039">
    <w:name w:val="标题 3 字符"/>
    <w:next w:val="1039"/>
    <w:link w:val="1026"/>
    <w:qFormat/>
    <w:rPr>
      <w:rFonts w:ascii="宋体" w:eastAsia="宋体"/>
      <w:b/>
      <w:sz w:val="24"/>
      <w:u w:val="single"/>
      <w:lang w:val="en-US" w:eastAsia="zh-CN" w:bidi="ar-SA"/>
    </w:rPr>
  </w:style>
  <w:style w:type="character" w:styleId="1040">
    <w:name w:val="标题 4 字符"/>
    <w:next w:val="1040"/>
    <w:link w:val="1027"/>
    <w:qFormat/>
    <w:rPr>
      <w:rFonts w:ascii="Arial" w:hAnsi="Arial" w:eastAsia="黑体"/>
      <w:b/>
      <w:sz w:val="28"/>
    </w:rPr>
  </w:style>
  <w:style w:type="character" w:styleId="1041">
    <w:name w:val="标题 5 字符"/>
    <w:next w:val="1041"/>
    <w:link w:val="1028"/>
    <w:qFormat/>
    <w:rPr>
      <w:b/>
      <w:sz w:val="28"/>
    </w:rPr>
  </w:style>
  <w:style w:type="character" w:styleId="1042">
    <w:name w:val="标题 6 字符"/>
    <w:next w:val="1042"/>
    <w:link w:val="1029"/>
    <w:qFormat/>
    <w:rPr>
      <w:rFonts w:ascii="Arial" w:hAnsi="Arial" w:eastAsia="黑体"/>
      <w:b/>
      <w:sz w:val="24"/>
    </w:rPr>
  </w:style>
  <w:style w:type="character" w:styleId="1043">
    <w:name w:val="标题 7 字符"/>
    <w:next w:val="1043"/>
    <w:link w:val="1030"/>
    <w:qFormat/>
    <w:rPr>
      <w:b/>
      <w:sz w:val="24"/>
    </w:rPr>
  </w:style>
  <w:style w:type="character" w:styleId="1044">
    <w:name w:val="标题 8 字符"/>
    <w:next w:val="1044"/>
    <w:link w:val="1031"/>
    <w:qFormat/>
    <w:rPr>
      <w:rFonts w:ascii="Arial" w:hAnsi="Arial" w:eastAsia="黑体"/>
      <w:sz w:val="24"/>
    </w:rPr>
  </w:style>
  <w:style w:type="character" w:styleId="1045">
    <w:name w:val="标题 9 字符"/>
    <w:next w:val="1045"/>
    <w:link w:val="1032"/>
    <w:qFormat/>
    <w:rPr>
      <w:rFonts w:ascii="Arial" w:hAnsi="Arial" w:eastAsia="黑体"/>
      <w:sz w:val="21"/>
    </w:rPr>
  </w:style>
  <w:style w:type="paragraph" w:styleId="1046">
    <w:name w:val="目录 7"/>
    <w:basedOn w:val="1023"/>
    <w:next w:val="1023"/>
    <w:link w:val="1023"/>
    <w:qFormat/>
    <w:pPr>
      <w:ind w:left="2520"/>
    </w:pPr>
  </w:style>
  <w:style w:type="paragraph" w:styleId="1047">
    <w:name w:val="题注"/>
    <w:basedOn w:val="1023"/>
    <w:next w:val="1023"/>
    <w:link w:val="1023"/>
    <w:qFormat/>
    <w:pPr>
      <w:spacing w:line="480" w:lineRule="auto"/>
    </w:pPr>
    <w:rPr>
      <w:rFonts w:ascii="华文中宋" w:hAnsi="华文中宋" w:eastAsia="华文中宋"/>
      <w:sz w:val="36"/>
      <w:szCs w:val="20"/>
    </w:rPr>
  </w:style>
  <w:style w:type="paragraph" w:styleId="1048">
    <w:name w:val="文档结构图"/>
    <w:basedOn w:val="1023"/>
    <w:next w:val="1048"/>
    <w:link w:val="1049"/>
    <w:qFormat/>
    <w:pPr>
      <w:shd w:val="clear" w:color="auto" w:fill="000080"/>
    </w:pPr>
  </w:style>
  <w:style w:type="character" w:styleId="1049">
    <w:name w:val="文档结构图 字符"/>
    <w:next w:val="1049"/>
    <w:link w:val="1048"/>
    <w:qFormat/>
    <w:rPr>
      <w:sz w:val="21"/>
      <w:szCs w:val="24"/>
      <w:shd w:val="clear" w:color="auto" w:fill="000080"/>
    </w:rPr>
  </w:style>
  <w:style w:type="paragraph" w:styleId="1050">
    <w:name w:val="批注文字"/>
    <w:basedOn w:val="1023"/>
    <w:next w:val="1050"/>
    <w:link w:val="1051"/>
    <w:uiPriority w:val="99"/>
    <w:qFormat/>
    <w:pPr>
      <w:jc w:val="left"/>
    </w:pPr>
  </w:style>
  <w:style w:type="character" w:styleId="1051">
    <w:name w:val="批注文字 字符1"/>
    <w:next w:val="1051"/>
    <w:link w:val="1050"/>
    <w:uiPriority w:val="99"/>
    <w:qFormat/>
    <w:rPr>
      <w:sz w:val="21"/>
      <w:szCs w:val="24"/>
    </w:rPr>
  </w:style>
  <w:style w:type="paragraph" w:styleId="1052">
    <w:name w:val="正文文本 3"/>
    <w:basedOn w:val="1023"/>
    <w:next w:val="1052"/>
    <w:link w:val="1053"/>
    <w:qFormat/>
    <w:pPr>
      <w:spacing w:after="120"/>
    </w:pPr>
    <w:rPr>
      <w:sz w:val="16"/>
      <w:szCs w:val="16"/>
    </w:rPr>
  </w:style>
  <w:style w:type="character" w:styleId="1053">
    <w:name w:val="正文文本 3 字符"/>
    <w:next w:val="1053"/>
    <w:link w:val="1052"/>
    <w:qFormat/>
    <w:rPr>
      <w:sz w:val="16"/>
      <w:szCs w:val="16"/>
    </w:rPr>
  </w:style>
  <w:style w:type="paragraph" w:styleId="1054">
    <w:name w:val="正文文本"/>
    <w:basedOn w:val="1023"/>
    <w:next w:val="1054"/>
    <w:link w:val="1055"/>
    <w:qFormat/>
    <w:pPr>
      <w:spacing w:before="120" w:line="22" w:lineRule="atLeast"/>
      <w:tabs>
        <w:tab w:val="left" w:pos="567" w:leader="none"/>
      </w:tabs>
    </w:pPr>
    <w:rPr>
      <w:rFonts w:ascii="宋体" w:hAnsi="宋体"/>
      <w:sz w:val="24"/>
    </w:rPr>
  </w:style>
  <w:style w:type="character" w:styleId="1055">
    <w:name w:val="正文文本 字符"/>
    <w:next w:val="1055"/>
    <w:link w:val="1054"/>
    <w:qFormat/>
    <w:rPr>
      <w:rFonts w:ascii="宋体" w:hAnsi="宋体"/>
      <w:sz w:val="24"/>
      <w:szCs w:val="24"/>
    </w:rPr>
  </w:style>
  <w:style w:type="paragraph" w:styleId="1056">
    <w:name w:val="正文文本缩进"/>
    <w:basedOn w:val="1023"/>
    <w:next w:val="1056"/>
    <w:link w:val="1057"/>
    <w:qFormat/>
    <w:pPr>
      <w:ind w:firstLine="570"/>
      <w:spacing w:line="360" w:lineRule="auto"/>
    </w:pPr>
    <w:rPr>
      <w:sz w:val="24"/>
    </w:rPr>
  </w:style>
  <w:style w:type="character" w:styleId="1057">
    <w:name w:val="正文文本缩进 字符"/>
    <w:next w:val="1057"/>
    <w:link w:val="1056"/>
    <w:qFormat/>
    <w:rPr>
      <w:rFonts w:eastAsia="宋体"/>
      <w:sz w:val="24"/>
      <w:szCs w:val="24"/>
      <w:lang w:val="en-US" w:eastAsia="zh-CN" w:bidi="ar-SA"/>
    </w:rPr>
  </w:style>
  <w:style w:type="paragraph" w:styleId="1058">
    <w:name w:val="列表 2"/>
    <w:basedOn w:val="1023"/>
    <w:next w:val="1058"/>
    <w:link w:val="1023"/>
    <w:qFormat/>
    <w:pPr>
      <w:ind w:left="100" w:hanging="200"/>
    </w:pPr>
  </w:style>
  <w:style w:type="paragraph" w:styleId="1059">
    <w:name w:val="文本块"/>
    <w:basedOn w:val="1023"/>
    <w:next w:val="1059"/>
    <w:link w:val="1023"/>
    <w:qFormat/>
    <w:pPr>
      <w:ind w:left="480" w:right="-341" w:firstLine="513"/>
      <w:widowControl/>
    </w:pPr>
    <w:rPr>
      <w:sz w:val="24"/>
      <w:szCs w:val="20"/>
    </w:rPr>
  </w:style>
  <w:style w:type="paragraph" w:styleId="1060">
    <w:name w:val="目录 5"/>
    <w:basedOn w:val="1023"/>
    <w:next w:val="1023"/>
    <w:link w:val="1023"/>
    <w:qFormat/>
    <w:pPr>
      <w:ind w:left="1680"/>
    </w:pPr>
  </w:style>
  <w:style w:type="paragraph" w:styleId="1061">
    <w:name w:val="目录 3"/>
    <w:basedOn w:val="1023"/>
    <w:next w:val="1023"/>
    <w:link w:val="1023"/>
    <w:uiPriority w:val="39"/>
    <w:qFormat/>
    <w:pPr>
      <w:ind w:left="840"/>
    </w:pPr>
  </w:style>
  <w:style w:type="paragraph" w:styleId="1062">
    <w:name w:val="纯文本"/>
    <w:basedOn w:val="1023"/>
    <w:next w:val="1062"/>
    <w:link w:val="1063"/>
    <w:qFormat/>
    <w:rPr>
      <w:rFonts w:hint="eastAsia" w:ascii="宋体" w:hAnsi="Courier New"/>
      <w:szCs w:val="20"/>
    </w:rPr>
  </w:style>
  <w:style w:type="character" w:styleId="1063">
    <w:name w:val="纯文本 字符2"/>
    <w:next w:val="1063"/>
    <w:link w:val="1062"/>
    <w:qFormat/>
    <w:rPr>
      <w:rFonts w:hint="eastAsia" w:ascii="宋体" w:hAnsi="Courier New" w:eastAsia="宋体" w:cs="宋体"/>
      <w:sz w:val="21"/>
    </w:rPr>
  </w:style>
  <w:style w:type="paragraph" w:styleId="1064">
    <w:name w:val="目录 8"/>
    <w:basedOn w:val="1023"/>
    <w:next w:val="1023"/>
    <w:link w:val="1023"/>
    <w:qFormat/>
    <w:pPr>
      <w:ind w:left="2940"/>
    </w:pPr>
  </w:style>
  <w:style w:type="paragraph" w:styleId="1065">
    <w:name w:val="日期"/>
    <w:basedOn w:val="1023"/>
    <w:next w:val="1023"/>
    <w:link w:val="1066"/>
    <w:qFormat/>
    <w:pPr>
      <w:ind w:left="100"/>
    </w:pPr>
    <w:rPr>
      <w:rFonts w:ascii="仿宋_GB2312" w:hAnsi="宋体" w:eastAsia="仿宋_GB2312"/>
      <w:color w:val="000000"/>
      <w:sz w:val="24"/>
    </w:rPr>
  </w:style>
  <w:style w:type="character" w:styleId="1066">
    <w:name w:val="日期 字符"/>
    <w:next w:val="1066"/>
    <w:link w:val="1065"/>
    <w:qFormat/>
    <w:rPr>
      <w:rFonts w:ascii="仿宋_GB2312" w:hAnsi="宋体" w:eastAsia="仿宋_GB2312"/>
      <w:color w:val="000000"/>
      <w:sz w:val="24"/>
      <w:szCs w:val="24"/>
    </w:rPr>
  </w:style>
  <w:style w:type="paragraph" w:styleId="1067">
    <w:name w:val="正文文本缩进 2"/>
    <w:basedOn w:val="1023"/>
    <w:next w:val="1067"/>
    <w:link w:val="1068"/>
    <w:qFormat/>
    <w:pPr>
      <w:ind w:firstLine="480"/>
    </w:pPr>
    <w:rPr>
      <w:rFonts w:ascii="仿宋_GB2312" w:eastAsia="仿宋_GB2312"/>
      <w:sz w:val="24"/>
    </w:rPr>
  </w:style>
  <w:style w:type="character" w:styleId="1068">
    <w:name w:val="正文文本缩进 2 字符"/>
    <w:next w:val="1068"/>
    <w:link w:val="1067"/>
    <w:qFormat/>
    <w:rPr>
      <w:rFonts w:ascii="仿宋_GB2312" w:eastAsia="仿宋_GB2312"/>
      <w:sz w:val="24"/>
      <w:szCs w:val="24"/>
    </w:rPr>
  </w:style>
  <w:style w:type="paragraph" w:styleId="1069">
    <w:name w:val="批注框文本"/>
    <w:basedOn w:val="1023"/>
    <w:next w:val="1069"/>
    <w:link w:val="1070"/>
    <w:qFormat/>
    <w:rPr>
      <w:sz w:val="18"/>
      <w:szCs w:val="18"/>
    </w:rPr>
  </w:style>
  <w:style w:type="character" w:styleId="1070">
    <w:name w:val="批注框文本 字符"/>
    <w:next w:val="1070"/>
    <w:link w:val="1069"/>
    <w:qFormat/>
    <w:rPr>
      <w:sz w:val="18"/>
      <w:szCs w:val="18"/>
    </w:rPr>
  </w:style>
  <w:style w:type="paragraph" w:styleId="1071">
    <w:name w:val="页脚"/>
    <w:basedOn w:val="1023"/>
    <w:next w:val="1071"/>
    <w:link w:val="1072"/>
    <w:uiPriority w:val="99"/>
    <w:qFormat/>
    <w:pPr>
      <w:jc w:val="left"/>
      <w:tabs>
        <w:tab w:val="center" w:pos="4153" w:leader="none"/>
        <w:tab w:val="right" w:pos="8306" w:leader="none"/>
      </w:tabs>
    </w:pPr>
    <w:rPr>
      <w:rFonts w:ascii="宋体"/>
      <w:sz w:val="18"/>
      <w:szCs w:val="20"/>
    </w:rPr>
  </w:style>
  <w:style w:type="character" w:styleId="1072">
    <w:name w:val="页脚 字符"/>
    <w:next w:val="1072"/>
    <w:link w:val="1071"/>
    <w:uiPriority w:val="99"/>
    <w:qFormat/>
    <w:rPr>
      <w:rFonts w:ascii="宋体" w:eastAsia="宋体"/>
      <w:sz w:val="18"/>
      <w:lang w:val="en-US" w:eastAsia="zh-CN" w:bidi="ar-SA"/>
    </w:rPr>
  </w:style>
  <w:style w:type="paragraph" w:styleId="1073">
    <w:name w:val="页眉"/>
    <w:basedOn w:val="1023"/>
    <w:next w:val="1073"/>
    <w:link w:val="1074"/>
    <w:qFormat/>
    <w:pPr>
      <w:jc w:val="center"/>
      <w:tabs>
        <w:tab w:val="center" w:pos="4153" w:leader="none"/>
        <w:tab w:val="right" w:pos="8306" w:leader="none"/>
      </w:tabs>
      <w:pBdr>
        <w:bottom w:val="single" w:color="000000" w:sz="6" w:space="1"/>
      </w:pBdr>
    </w:pPr>
    <w:rPr>
      <w:sz w:val="18"/>
      <w:szCs w:val="18"/>
    </w:rPr>
  </w:style>
  <w:style w:type="character" w:styleId="1074">
    <w:name w:val="页眉 字符"/>
    <w:next w:val="1074"/>
    <w:link w:val="1073"/>
    <w:qFormat/>
    <w:rPr>
      <w:rFonts w:eastAsia="宋体"/>
      <w:sz w:val="18"/>
      <w:szCs w:val="18"/>
      <w:lang w:val="en-US" w:eastAsia="zh-CN" w:bidi="ar-SA"/>
    </w:rPr>
  </w:style>
  <w:style w:type="paragraph" w:styleId="1075">
    <w:name w:val="目录 1"/>
    <w:basedOn w:val="1023"/>
    <w:next w:val="1023"/>
    <w:link w:val="1023"/>
    <w:uiPriority w:val="39"/>
    <w:qFormat/>
    <w:pPr>
      <w:spacing w:line="300" w:lineRule="auto"/>
      <w:tabs>
        <w:tab w:val="left" w:pos="1050" w:leader="none"/>
        <w:tab w:val="right" w:pos="8937" w:leader="dot"/>
      </w:tabs>
    </w:pPr>
    <w:rPr>
      <w:rFonts w:ascii="宋体" w:hAnsi="宋体"/>
      <w:b/>
      <w:sz w:val="24"/>
    </w:rPr>
  </w:style>
  <w:style w:type="paragraph" w:styleId="1076">
    <w:name w:val="目录 4"/>
    <w:basedOn w:val="1023"/>
    <w:next w:val="1023"/>
    <w:link w:val="1023"/>
    <w:qFormat/>
    <w:pPr>
      <w:ind w:left="1260"/>
    </w:pPr>
  </w:style>
  <w:style w:type="paragraph" w:styleId="1077">
    <w:name w:val="目录 6"/>
    <w:basedOn w:val="1023"/>
    <w:next w:val="1023"/>
    <w:link w:val="1023"/>
    <w:qFormat/>
    <w:pPr>
      <w:ind w:left="2100"/>
    </w:pPr>
  </w:style>
  <w:style w:type="paragraph" w:styleId="1078">
    <w:name w:val="正文文本缩进 3"/>
    <w:basedOn w:val="1023"/>
    <w:next w:val="1078"/>
    <w:link w:val="1079"/>
    <w:qFormat/>
    <w:pPr>
      <w:ind w:left="720" w:firstLine="480"/>
      <w:jc w:val="left"/>
      <w:spacing w:before="120" w:line="22" w:lineRule="atLeast"/>
    </w:pPr>
    <w:rPr>
      <w:rFonts w:ascii="宋体"/>
      <w:sz w:val="24"/>
      <w:szCs w:val="20"/>
    </w:rPr>
  </w:style>
  <w:style w:type="character" w:styleId="1079">
    <w:name w:val="正文文本缩进 3 字符"/>
    <w:next w:val="1079"/>
    <w:link w:val="1078"/>
    <w:qFormat/>
    <w:rPr>
      <w:rFonts w:ascii="宋体"/>
      <w:sz w:val="24"/>
    </w:rPr>
  </w:style>
  <w:style w:type="paragraph" w:styleId="1080">
    <w:name w:val="目录 2"/>
    <w:basedOn w:val="1023"/>
    <w:next w:val="1023"/>
    <w:link w:val="1023"/>
    <w:uiPriority w:val="39"/>
    <w:qFormat/>
    <w:pPr>
      <w:ind w:left="420"/>
      <w:spacing w:line="312" w:lineRule="auto"/>
      <w:tabs>
        <w:tab w:val="right" w:pos="8937" w:leader="dot"/>
      </w:tabs>
    </w:pPr>
  </w:style>
  <w:style w:type="paragraph" w:styleId="1081">
    <w:name w:val="目录 9"/>
    <w:basedOn w:val="1023"/>
    <w:next w:val="1023"/>
    <w:link w:val="1023"/>
    <w:qFormat/>
    <w:pPr>
      <w:ind w:left="3360"/>
    </w:pPr>
  </w:style>
  <w:style w:type="paragraph" w:styleId="1082">
    <w:name w:val="HTML 预设格式"/>
    <w:basedOn w:val="1023"/>
    <w:next w:val="1082"/>
    <w:link w:val="108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83">
    <w:name w:val="HTML 预设格式 字符"/>
    <w:next w:val="1083"/>
    <w:link w:val="1082"/>
    <w:qFormat/>
    <w:rPr>
      <w:rFonts w:ascii="宋体" w:hAnsi="宋体" w:cs="宋体"/>
      <w:sz w:val="24"/>
      <w:szCs w:val="24"/>
    </w:rPr>
  </w:style>
  <w:style w:type="paragraph" w:styleId="1084">
    <w:name w:val="普通(网站)"/>
    <w:basedOn w:val="1023"/>
    <w:next w:val="1084"/>
    <w:link w:val="1023"/>
    <w:uiPriority w:val="99"/>
    <w:unhideWhenUsed/>
    <w:qFormat/>
    <w:pPr>
      <w:jc w:val="left"/>
      <w:spacing w:before="100" w:beforeAutospacing="1" w:after="100" w:afterAutospacing="1"/>
      <w:widowControl/>
    </w:pPr>
    <w:rPr>
      <w:rFonts w:ascii="宋体" w:hAnsi="宋体" w:cs="宋体"/>
      <w:sz w:val="24"/>
    </w:rPr>
  </w:style>
  <w:style w:type="paragraph" w:styleId="1085">
    <w:name w:val="索引 1"/>
    <w:basedOn w:val="1023"/>
    <w:next w:val="1023"/>
    <w:link w:val="1023"/>
    <w:qFormat/>
    <w:rPr>
      <w:szCs w:val="20"/>
    </w:rPr>
  </w:style>
  <w:style w:type="paragraph" w:styleId="1086">
    <w:name w:val="标题"/>
    <w:basedOn w:val="1023"/>
    <w:next w:val="1086"/>
    <w:link w:val="1087"/>
    <w:qFormat/>
    <w:pPr>
      <w:jc w:val="center"/>
      <w:outlineLvl w:val="0"/>
    </w:pPr>
    <w:rPr>
      <w:b/>
      <w:sz w:val="32"/>
      <w:szCs w:val="20"/>
    </w:rPr>
  </w:style>
  <w:style w:type="character" w:styleId="1087">
    <w:name w:val="标题 字符"/>
    <w:next w:val="1087"/>
    <w:link w:val="1086"/>
    <w:qFormat/>
    <w:rPr>
      <w:b/>
      <w:sz w:val="32"/>
    </w:rPr>
  </w:style>
  <w:style w:type="paragraph" w:styleId="1088">
    <w:name w:val="批注主题"/>
    <w:basedOn w:val="1050"/>
    <w:next w:val="1050"/>
    <w:link w:val="1089"/>
    <w:qFormat/>
    <w:rPr>
      <w:b/>
      <w:bCs/>
    </w:rPr>
  </w:style>
  <w:style w:type="character" w:styleId="1089">
    <w:name w:val="批注主题 字符"/>
    <w:next w:val="1089"/>
    <w:link w:val="1088"/>
    <w:qFormat/>
    <w:rPr>
      <w:rFonts w:ascii="Times New Roman" w:hAnsi="Times New Roman" w:eastAsia="宋体" w:cs="Times New Roman"/>
      <w:b/>
      <w:bCs/>
      <w:sz w:val="21"/>
      <w:szCs w:val="24"/>
      <w:lang w:val="en-US" w:eastAsia="zh-CN" w:bidi="ar-SA"/>
    </w:rPr>
  </w:style>
  <w:style w:type="paragraph" w:styleId="1090">
    <w:name w:val="正文首行缩进"/>
    <w:basedOn w:val="1054"/>
    <w:next w:val="1090"/>
    <w:link w:val="1023"/>
    <w:uiPriority w:val="99"/>
    <w:qFormat/>
    <w:pPr>
      <w:ind w:firstLine="420"/>
      <w:tabs>
        <w:tab w:val="left" w:pos="567" w:leader="none"/>
      </w:tabs>
    </w:pPr>
  </w:style>
  <w:style w:type="paragraph" w:styleId="1091">
    <w:name w:val="正文首行缩进 2"/>
    <w:basedOn w:val="1056"/>
    <w:next w:val="1091"/>
    <w:link w:val="1092"/>
    <w:qFormat/>
    <w:pPr>
      <w:ind w:left="420" w:firstLine="420"/>
      <w:spacing w:after="120" w:line="480" w:lineRule="exact"/>
    </w:pPr>
    <w:rPr>
      <w:szCs w:val="20"/>
    </w:rPr>
  </w:style>
  <w:style w:type="character" w:styleId="1092">
    <w:name w:val="正文文本首行缩进 2 字符"/>
    <w:next w:val="1092"/>
    <w:link w:val="1091"/>
    <w:qFormat/>
    <w:rPr>
      <w:rFonts w:eastAsia="宋体"/>
      <w:sz w:val="24"/>
      <w:szCs w:val="24"/>
      <w:lang w:val="en-US" w:eastAsia="zh-CN" w:bidi="ar-SA"/>
    </w:rPr>
  </w:style>
  <w:style w:type="table" w:styleId="1093">
    <w:name w:val="网格型"/>
    <w:basedOn w:val="1034"/>
    <w:next w:val="1093"/>
    <w:link w:val="1023"/>
    <w:uiPriority w:val="39"/>
    <w:qFormat/>
    <w:tblPr/>
  </w:style>
  <w:style w:type="table" w:styleId="1094">
    <w:name w:val="中等深浅网格 1 - 强调文字颜色 2"/>
    <w:basedOn w:val="1034"/>
    <w:next w:val="1094"/>
    <w:link w:val="1023"/>
    <w:qFormat/>
    <w:rPr>
      <w:sz w:val="21"/>
      <w:szCs w:val="24"/>
    </w:rPr>
    <w:tblPr/>
  </w:style>
  <w:style w:type="character" w:styleId="1095">
    <w:name w:val="要点"/>
    <w:next w:val="1095"/>
    <w:link w:val="1023"/>
    <w:qFormat/>
    <w:rPr>
      <w:b/>
      <w:bCs/>
    </w:rPr>
  </w:style>
  <w:style w:type="character" w:styleId="1096">
    <w:name w:val="页码"/>
    <w:next w:val="1096"/>
    <w:link w:val="1023"/>
    <w:qFormat/>
  </w:style>
  <w:style w:type="character" w:styleId="1097">
    <w:name w:val="已访问的超链接"/>
    <w:next w:val="1097"/>
    <w:link w:val="1023"/>
    <w:qFormat/>
    <w:rPr>
      <w:color w:val="333333"/>
      <w:u w:val="none"/>
    </w:rPr>
  </w:style>
  <w:style w:type="character" w:styleId="1098">
    <w:name w:val="强调"/>
    <w:next w:val="1098"/>
    <w:link w:val="1023"/>
    <w:qFormat/>
    <w:rPr>
      <w:color w:val="cc0033"/>
    </w:rPr>
  </w:style>
  <w:style w:type="character" w:styleId="1099">
    <w:name w:val="超链接"/>
    <w:next w:val="1099"/>
    <w:link w:val="1023"/>
    <w:uiPriority w:val="99"/>
    <w:qFormat/>
    <w:rPr>
      <w:color w:val="333333"/>
      <w:u w:val="none"/>
    </w:rPr>
  </w:style>
  <w:style w:type="character" w:styleId="1100">
    <w:name w:val="批注引用"/>
    <w:next w:val="1100"/>
    <w:link w:val="1023"/>
    <w:uiPriority w:val="99"/>
    <w:qFormat/>
    <w:rPr>
      <w:sz w:val="21"/>
      <w:szCs w:val="21"/>
    </w:rPr>
  </w:style>
  <w:style w:type="character" w:styleId="1101">
    <w:name w:val="HTML 引文"/>
    <w:next w:val="1101"/>
    <w:link w:val="1023"/>
    <w:qFormat/>
    <w:rPr>
      <w:i/>
      <w:iCs/>
    </w:rPr>
  </w:style>
  <w:style w:type="character" w:styleId="1102">
    <w:name w:val="标题 1 字符"/>
    <w:next w:val="1102"/>
    <w:link w:val="1024"/>
    <w:qFormat/>
    <w:rPr>
      <w:rFonts w:ascii="宋体"/>
      <w:b/>
      <w:sz w:val="32"/>
    </w:rPr>
  </w:style>
  <w:style w:type="paragraph" w:styleId="1103">
    <w:name w:val="Default"/>
    <w:next w:val="1103"/>
    <w:link w:val="1023"/>
    <w:qFormat/>
    <w:pPr>
      <w:widowControl w:val="off"/>
    </w:pPr>
    <w:rPr>
      <w:rFonts w:ascii="Symbol" w:hAnsi="Symbol" w:cs="Symbol"/>
      <w:color w:val="000000"/>
      <w:sz w:val="24"/>
      <w:szCs w:val="24"/>
      <w:lang w:val="en-US" w:eastAsia="zh-CN" w:bidi="ar-SA"/>
    </w:rPr>
  </w:style>
  <w:style w:type="character" w:styleId="1104">
    <w:name w:val="批注文字 字符"/>
    <w:next w:val="1104"/>
    <w:link w:val="1023"/>
    <w:uiPriority w:val="99"/>
    <w:qFormat/>
    <w:rPr>
      <w:rFonts w:ascii="Times New Roman" w:hAnsi="Times New Roman" w:eastAsia="宋体" w:cs="Times New Roman"/>
      <w:sz w:val="24"/>
      <w:lang w:val="en-US" w:eastAsia="zh-CN" w:bidi="ar-SA"/>
    </w:rPr>
  </w:style>
  <w:style w:type="character" w:styleId="1105">
    <w:name w:val="c21"/>
    <w:next w:val="1105"/>
    <w:link w:val="1023"/>
    <w:qFormat/>
    <w:rPr>
      <w:rFonts w:ascii="ˎ̥" w:hAnsi="ˎ̥"/>
      <w:color w:val="000000"/>
      <w:sz w:val="20"/>
      <w:szCs w:val="20"/>
      <w:u w:val="none"/>
    </w:rPr>
  </w:style>
  <w:style w:type="character" w:styleId="1106">
    <w:name w:val="title4"/>
    <w:next w:val="1106"/>
    <w:link w:val="1023"/>
    <w:qFormat/>
    <w:rPr>
      <w:b/>
      <w:bCs/>
      <w:color w:val="1d87b3"/>
      <w:sz w:val="15"/>
      <w:szCs w:val="15"/>
    </w:rPr>
  </w:style>
  <w:style w:type="character" w:styleId="1107">
    <w:name w:val="标题 2 Char Char"/>
    <w:next w:val="1107"/>
    <w:link w:val="1023"/>
    <w:qFormat/>
    <w:rPr>
      <w:rFonts w:ascii="Arial" w:hAnsi="Arial" w:eastAsia="黑体"/>
      <w:b/>
      <w:bCs/>
      <w:sz w:val="32"/>
      <w:szCs w:val="32"/>
      <w:lang w:val="en-US" w:eastAsia="zh-CN" w:bidi="ar-SA"/>
    </w:rPr>
  </w:style>
  <w:style w:type="character" w:styleId="1108">
    <w:name w:val="black1"/>
    <w:next w:val="1108"/>
    <w:link w:val="1023"/>
    <w:qFormat/>
    <w:rPr>
      <w:color w:val="000000"/>
    </w:rPr>
  </w:style>
  <w:style w:type="character" w:styleId="1109">
    <w:name w:val="street-address"/>
    <w:next w:val="1109"/>
    <w:link w:val="1023"/>
    <w:qFormat/>
  </w:style>
  <w:style w:type="character" w:styleId="1110">
    <w:name w:val="locality"/>
    <w:next w:val="1110"/>
    <w:link w:val="1023"/>
    <w:qFormat/>
  </w:style>
  <w:style w:type="character" w:styleId="1111">
    <w:name w:val="正文文本缩进 Char1"/>
    <w:next w:val="1111"/>
    <w:link w:val="1112"/>
    <w:qFormat/>
    <w:rPr>
      <w:rFonts w:ascii="宋体" w:hAnsi="宋体" w:eastAsia="宋体"/>
      <w:sz w:val="24"/>
      <w:szCs w:val="24"/>
      <w:lang w:bidi="ar-SA"/>
    </w:rPr>
  </w:style>
  <w:style w:type="paragraph" w:styleId="1112">
    <w:name w:val="正文文本缩进1"/>
    <w:basedOn w:val="1023"/>
    <w:next w:val="1112"/>
    <w:link w:val="1111"/>
    <w:qFormat/>
    <w:pPr>
      <w:ind w:firstLine="480"/>
      <w:spacing w:line="480" w:lineRule="exact"/>
    </w:pPr>
    <w:rPr>
      <w:rFonts w:ascii="宋体" w:hAnsi="宋体"/>
      <w:sz w:val="24"/>
    </w:rPr>
  </w:style>
  <w:style w:type="character" w:styleId="1113">
    <w:name w:val="Char Char11"/>
    <w:next w:val="1113"/>
    <w:link w:val="1023"/>
    <w:qFormat/>
    <w:rPr>
      <w:rFonts w:ascii="宋体" w:eastAsia="宋体"/>
      <w:b/>
      <w:sz w:val="24"/>
      <w:u w:val="single"/>
      <w:lang w:val="en-US" w:eastAsia="zh-CN" w:bidi="ar-SA"/>
    </w:rPr>
  </w:style>
  <w:style w:type="character" w:styleId="1114">
    <w:name w:val="txt"/>
    <w:next w:val="1114"/>
    <w:link w:val="1023"/>
    <w:qFormat/>
  </w:style>
  <w:style w:type="character" w:styleId="1115">
    <w:name w:val="正文缩进 Char Char"/>
    <w:next w:val="1115"/>
    <w:link w:val="1116"/>
    <w:qFormat/>
    <w:rPr>
      <w:rFonts w:ascii="宋体" w:eastAsia="宋体"/>
      <w:color w:val="000000"/>
      <w:sz w:val="28"/>
      <w:lang w:bidi="ar-SA"/>
    </w:rPr>
  </w:style>
  <w:style w:type="paragraph" w:styleId="1116">
    <w:name w:val="正文缩进1"/>
    <w:basedOn w:val="1023"/>
    <w:next w:val="1116"/>
    <w:link w:val="1115"/>
    <w:qFormat/>
    <w:pPr>
      <w:ind w:firstLine="567"/>
      <w:spacing w:line="480" w:lineRule="exact"/>
      <w:widowControl/>
    </w:pPr>
    <w:rPr>
      <w:rFonts w:ascii="宋体"/>
      <w:color w:val="000000"/>
      <w:sz w:val="28"/>
      <w:szCs w:val="20"/>
    </w:rPr>
  </w:style>
  <w:style w:type="character" w:styleId="1117">
    <w:name w:val="普通文字1 Char1"/>
    <w:next w:val="1117"/>
    <w:link w:val="1023"/>
    <w:qFormat/>
    <w:rPr>
      <w:rFonts w:ascii="宋体" w:hAnsi="Courier New" w:eastAsia="宋体"/>
      <w:sz w:val="21"/>
      <w:lang w:val="en-US" w:eastAsia="zh-CN" w:bidi="ar-SA"/>
    </w:rPr>
  </w:style>
  <w:style w:type="character" w:styleId="1118">
    <w:name w:val="chanpin1"/>
    <w:next w:val="1118"/>
    <w:link w:val="1023"/>
    <w:qFormat/>
    <w:rPr>
      <w:rFonts w:ascii="ˎ̥" w:hAnsi="ˎ̥"/>
      <w:color w:val="000000"/>
      <w:sz w:val="20"/>
      <w:szCs w:val="20"/>
      <w:u w:val="none"/>
    </w:rPr>
  </w:style>
  <w:style w:type="character" w:styleId="1119">
    <w:name w:val="列表段落 字符"/>
    <w:next w:val="1119"/>
    <w:link w:val="1120"/>
    <w:uiPriority w:val="34"/>
    <w:qFormat/>
    <w:rPr>
      <w:rFonts w:ascii="Calibri" w:hAnsi="Calibri" w:eastAsia="宋体"/>
      <w:sz w:val="21"/>
      <w:szCs w:val="22"/>
      <w:lang w:val="en-US" w:eastAsia="zh-CN" w:bidi="ar-SA"/>
    </w:rPr>
  </w:style>
  <w:style w:type="paragraph" w:styleId="1120">
    <w:name w:val="列表段落"/>
    <w:basedOn w:val="1023"/>
    <w:next w:val="1120"/>
    <w:link w:val="1119"/>
    <w:uiPriority w:val="34"/>
    <w:qFormat/>
    <w:pPr>
      <w:ind w:firstLine="420"/>
    </w:pPr>
    <w:rPr>
      <w:rFonts w:ascii="Calibri" w:hAnsi="Calibri"/>
      <w:szCs w:val="22"/>
    </w:rPr>
  </w:style>
  <w:style w:type="character" w:styleId="1121">
    <w:name w:val="标题 3 Char Char"/>
    <w:next w:val="1121"/>
    <w:link w:val="1023"/>
    <w:qFormat/>
    <w:rPr>
      <w:rFonts w:eastAsia="宋体"/>
      <w:b/>
      <w:bCs/>
      <w:sz w:val="32"/>
      <w:szCs w:val="32"/>
      <w:lang w:val="en-US" w:eastAsia="zh-CN" w:bidi="ar-SA"/>
    </w:rPr>
  </w:style>
  <w:style w:type="character" w:styleId="1122">
    <w:name w:val="段1 Char"/>
    <w:next w:val="1122"/>
    <w:link w:val="1023"/>
    <w:qFormat/>
    <w:rPr>
      <w:rFonts w:ascii="宋体" w:eastAsia="宋体"/>
      <w:sz w:val="24"/>
      <w:lang w:val="en-US" w:eastAsia="zh-CN" w:bidi="ar-SA"/>
    </w:rPr>
  </w:style>
  <w:style w:type="character" w:styleId="1123">
    <w:name w:val="chanpin拷贝"/>
    <w:next w:val="1123"/>
    <w:link w:val="1023"/>
    <w:qFormat/>
  </w:style>
  <w:style w:type="character" w:styleId="1124">
    <w:name w:val="纯文本 Char1"/>
    <w:next w:val="1124"/>
    <w:link w:val="1023"/>
    <w:qFormat/>
    <w:rPr>
      <w:rFonts w:ascii="宋体" w:hAnsi="Courier New" w:eastAsia="宋体"/>
      <w:sz w:val="21"/>
      <w:lang w:val="en-US" w:eastAsia="zh-CN" w:bidi="ar-SA"/>
    </w:rPr>
  </w:style>
  <w:style w:type="character" w:styleId="1125">
    <w:name w:val="apple-style-span"/>
    <w:next w:val="1125"/>
    <w:link w:val="1023"/>
    <w:qFormat/>
    <w:rPr>
      <w:rFonts w:cs="Times New Roman"/>
    </w:rPr>
  </w:style>
  <w:style w:type="paragraph" w:styleId="1126">
    <w:name w:val="二级条标题"/>
    <w:basedOn w:val="1127"/>
    <w:next w:val="1023"/>
    <w:link w:val="1023"/>
    <w:qFormat/>
    <w:pPr>
      <w:numPr>
        <w:ilvl w:val="0"/>
        <w:numId w:val="0"/>
      </w:numPr>
      <w:ind w:hanging="840"/>
      <w:tabs>
        <w:tab w:val="left" w:pos="360" w:leader="none"/>
        <w:tab w:val="left" w:pos="840" w:leader="none"/>
      </w:tabs>
      <w:outlineLvl w:val="2"/>
    </w:pPr>
    <w:rPr>
      <w:rFonts w:ascii="宋体" w:eastAsia="宋体"/>
      <w:b w:val="0"/>
    </w:rPr>
  </w:style>
  <w:style w:type="paragraph" w:styleId="1127">
    <w:name w:val="一级条标题"/>
    <w:basedOn w:val="1128"/>
    <w:next w:val="1023"/>
    <w:link w:val="1023"/>
    <w:qFormat/>
    <w:pPr>
      <w:numPr>
        <w:ilvl w:val="1"/>
      </w:numPr>
      <w:ind w:left="0" w:hanging="840"/>
      <w:tabs>
        <w:tab w:val="left" w:pos="360" w:leader="none"/>
        <w:tab w:val="left" w:pos="840" w:leader="none"/>
      </w:tabs>
      <w:outlineLvl w:val="1"/>
    </w:pPr>
  </w:style>
  <w:style w:type="paragraph" w:styleId="1128">
    <w:name w:val="章标题"/>
    <w:next w:val="1023"/>
    <w:link w:val="1023"/>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29">
    <w:name w:val="font7"/>
    <w:basedOn w:val="1023"/>
    <w:next w:val="1129"/>
    <w:link w:val="1023"/>
    <w:qFormat/>
    <w:pPr>
      <w:jc w:val="left"/>
      <w:spacing w:before="100" w:beforeAutospacing="1" w:after="100" w:afterAutospacing="1"/>
      <w:widowControl/>
    </w:pPr>
    <w:rPr>
      <w:rFonts w:eastAsia="Arial Unicode MS"/>
      <w:b/>
      <w:bCs/>
      <w:color w:val="000000"/>
      <w:sz w:val="20"/>
      <w:szCs w:val="20"/>
    </w:rPr>
  </w:style>
  <w:style w:type="paragraph" w:styleId="1130">
    <w:name w:val="字元 字元"/>
    <w:basedOn w:val="1023"/>
    <w:next w:val="1130"/>
    <w:link w:val="1023"/>
    <w:qFormat/>
    <w:rPr>
      <w:rFonts w:ascii="Tahoma" w:hAnsi="Tahoma"/>
      <w:sz w:val="24"/>
      <w:szCs w:val="20"/>
    </w:rPr>
  </w:style>
  <w:style w:type="paragraph" w:styleId="1131">
    <w:name w:val="Char3 Char Char Char"/>
    <w:basedOn w:val="1023"/>
    <w:next w:val="1131"/>
    <w:link w:val="1023"/>
    <w:qFormat/>
    <w:rPr>
      <w:rFonts w:ascii="Tahoma" w:hAnsi="Tahoma"/>
      <w:sz w:val="24"/>
      <w:szCs w:val="20"/>
    </w:rPr>
  </w:style>
  <w:style w:type="paragraph" w:styleId="1132">
    <w:name w:val="font6"/>
    <w:basedOn w:val="1023"/>
    <w:next w:val="1132"/>
    <w:link w:val="1023"/>
    <w:qFormat/>
    <w:pPr>
      <w:jc w:val="left"/>
      <w:spacing w:before="100" w:beforeAutospacing="1" w:after="100" w:afterAutospacing="1"/>
      <w:widowControl/>
    </w:pPr>
    <w:rPr>
      <w:rFonts w:ascii="宋体" w:hAnsi="宋体" w:cs="宋体"/>
      <w:sz w:val="20"/>
      <w:szCs w:val="20"/>
    </w:rPr>
  </w:style>
  <w:style w:type="paragraph" w:styleId="1133">
    <w:name w:val="项目编号2"/>
    <w:basedOn w:val="1134"/>
    <w:next w:val="1133"/>
    <w:link w:val="1023"/>
    <w:qFormat/>
    <w:pPr>
      <w:numPr>
        <w:numId w:val="3"/>
      </w:numPr>
    </w:pPr>
  </w:style>
  <w:style w:type="paragraph" w:styleId="1134">
    <w:name w:val="项目编号1"/>
    <w:basedOn w:val="1023"/>
    <w:next w:val="1134"/>
    <w:link w:val="1023"/>
    <w:qFormat/>
    <w:pPr>
      <w:numPr>
        <w:ilvl w:val="0"/>
        <w:numId w:val="2"/>
      </w:numPr>
      <w:spacing w:before="100" w:beforeAutospacing="1" w:after="100" w:afterAutospacing="1" w:line="360" w:lineRule="auto"/>
    </w:pPr>
    <w:rPr>
      <w:sz w:val="24"/>
    </w:rPr>
  </w:style>
  <w:style w:type="paragraph" w:styleId="1135">
    <w:name w:val="图中文字"/>
    <w:basedOn w:val="1023"/>
    <w:next w:val="1135"/>
    <w:link w:val="1023"/>
    <w:qFormat/>
    <w:pPr>
      <w:jc w:val="center"/>
      <w:spacing w:line="0" w:lineRule="atLeast"/>
    </w:pPr>
    <w:rPr>
      <w:sz w:val="24"/>
      <w:szCs w:val="20"/>
    </w:rPr>
  </w:style>
  <w:style w:type="paragraph" w:styleId="1136">
    <w:name w:val="xl46"/>
    <w:basedOn w:val="1023"/>
    <w:next w:val="1136"/>
    <w:link w:val="102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7">
    <w:name w:val="xl25"/>
    <w:basedOn w:val="1023"/>
    <w:next w:val="1137"/>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Char2"/>
    <w:basedOn w:val="1023"/>
    <w:next w:val="1138"/>
    <w:link w:val="1023"/>
    <w:qFormat/>
    <w:rPr>
      <w:rFonts w:ascii="Tahoma" w:hAnsi="Tahoma"/>
      <w:sz w:val="24"/>
      <w:szCs w:val="20"/>
    </w:rPr>
  </w:style>
  <w:style w:type="paragraph" w:styleId="1139">
    <w:name w:val="xl35"/>
    <w:basedOn w:val="1023"/>
    <w:next w:val="1139"/>
    <w:link w:val="10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0">
    <w:name w:val="xl40"/>
    <w:basedOn w:val="1023"/>
    <w:next w:val="1140"/>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name w:val="xl52"/>
    <w:basedOn w:val="1023"/>
    <w:next w:val="1141"/>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2">
    <w:name w:val="xl43"/>
    <w:basedOn w:val="1023"/>
    <w:next w:val="1142"/>
    <w:link w:val="10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3">
    <w:name w:val="background1"/>
    <w:basedOn w:val="1023"/>
    <w:next w:val="1143"/>
    <w:link w:val="1023"/>
    <w:qFormat/>
    <w:pPr>
      <w:jc w:val="left"/>
      <w:spacing w:before="100" w:beforeAutospacing="1" w:after="100" w:afterAutospacing="1"/>
      <w:widowControl/>
    </w:pPr>
    <w:rPr>
      <w:rFonts w:ascii="宋体" w:hAnsi="宋体" w:cs="宋体"/>
      <w:sz w:val="24"/>
    </w:rPr>
  </w:style>
  <w:style w:type="paragraph" w:styleId="1144">
    <w:name w:val="Char Char Char Char Char Char Char"/>
    <w:basedOn w:val="1023"/>
    <w:next w:val="1144"/>
    <w:link w:val="1023"/>
    <w:qFormat/>
    <w:pPr>
      <w:ind w:firstLine="200"/>
      <w:spacing w:line="360" w:lineRule="auto"/>
    </w:pPr>
    <w:rPr>
      <w:rFonts w:eastAsia="仿宋_GB2312"/>
      <w:sz w:val="24"/>
    </w:rPr>
  </w:style>
  <w:style w:type="paragraph" w:styleId="1145">
    <w:name w:val="xl38"/>
    <w:basedOn w:val="1023"/>
    <w:next w:val="1145"/>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46">
    <w:name w:val="xl36"/>
    <w:basedOn w:val="1023"/>
    <w:next w:val="1146"/>
    <w:link w:val="102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7">
    <w:name w:val="正文 + 宋体"/>
    <w:basedOn w:val="1023"/>
    <w:next w:val="1147"/>
    <w:link w:val="1023"/>
    <w:qFormat/>
    <w:pPr>
      <w:ind w:left="360" w:hanging="360"/>
      <w:jc w:val="left"/>
      <w:widowControl/>
    </w:pPr>
    <w:rPr>
      <w:rFonts w:ascii="宋体" w:hAnsi="宋体" w:cs="宋体"/>
      <w:b/>
      <w:bCs/>
      <w:color w:val="000000"/>
      <w:sz w:val="18"/>
      <w:szCs w:val="18"/>
    </w:rPr>
  </w:style>
  <w:style w:type="paragraph" w:styleId="1148">
    <w:name w:val="正文列项_数字"/>
    <w:basedOn w:val="1023"/>
    <w:next w:val="1148"/>
    <w:link w:val="1023"/>
    <w:qFormat/>
    <w:pPr>
      <w:numPr>
        <w:ilvl w:val="7"/>
        <w:numId w:val="1"/>
      </w:numPr>
      <w:ind w:left="680" w:hanging="150"/>
      <w:spacing w:line="460" w:lineRule="exact"/>
      <w:tabs>
        <w:tab w:val="clear" w:pos="860" w:leader="none"/>
      </w:tabs>
      <w:outlineLvl w:val="7"/>
    </w:pPr>
    <w:rPr>
      <w:rFonts w:ascii="宋体"/>
      <w:sz w:val="28"/>
      <w:szCs w:val="20"/>
    </w:rPr>
  </w:style>
  <w:style w:type="paragraph" w:styleId="1149">
    <w:name w:val="xl39"/>
    <w:basedOn w:val="1023"/>
    <w:next w:val="1149"/>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0">
    <w:name w:val="xl37"/>
    <w:basedOn w:val="1023"/>
    <w:next w:val="1150"/>
    <w:link w:val="102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1">
    <w:name w:val="xl32"/>
    <w:basedOn w:val="1023"/>
    <w:next w:val="1151"/>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2">
    <w:name w:val="font8"/>
    <w:basedOn w:val="1023"/>
    <w:next w:val="1152"/>
    <w:link w:val="1023"/>
    <w:qFormat/>
    <w:pPr>
      <w:jc w:val="left"/>
      <w:spacing w:before="100" w:beforeAutospacing="1" w:after="100" w:afterAutospacing="1"/>
      <w:widowControl/>
    </w:pPr>
    <w:rPr>
      <w:sz w:val="36"/>
      <w:szCs w:val="36"/>
    </w:rPr>
  </w:style>
  <w:style w:type="paragraph" w:styleId="1153">
    <w:name w:val="Char"/>
    <w:basedOn w:val="1023"/>
    <w:next w:val="1153"/>
    <w:link w:val="1023"/>
    <w:qFormat/>
    <w:pPr>
      <w:tabs>
        <w:tab w:val="left" w:pos="360" w:leader="none"/>
      </w:tabs>
    </w:pPr>
    <w:rPr>
      <w:sz w:val="24"/>
    </w:rPr>
  </w:style>
  <w:style w:type="paragraph" w:styleId="1154">
    <w:name w:val="Char Char Char Char Char Char Char Char Char Char Char Char Char Char Char Char"/>
    <w:basedOn w:val="1023"/>
    <w:next w:val="1154"/>
    <w:link w:val="1023"/>
    <w:qFormat/>
    <w:pPr>
      <w:jc w:val="center"/>
      <w:spacing w:after="160" w:line="240" w:lineRule="exact"/>
      <w:widowControl/>
    </w:pPr>
    <w:rPr>
      <w:rFonts w:ascii="宋体" w:hAnsi="宋体"/>
      <w:b/>
      <w:sz w:val="30"/>
      <w:szCs w:val="30"/>
      <w:lang w:eastAsia="en-US"/>
    </w:rPr>
  </w:style>
  <w:style w:type="paragraph" w:styleId="1155">
    <w:name w:val="xl45"/>
    <w:basedOn w:val="1023"/>
    <w:next w:val="1155"/>
    <w:link w:val="102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name w:val="Char Char1 Char Char Char Char Char Char"/>
    <w:basedOn w:val="1023"/>
    <w:next w:val="1156"/>
    <w:link w:val="1023"/>
    <w:qFormat/>
    <w:pPr>
      <w:jc w:val="left"/>
      <w:spacing w:after="160" w:line="240" w:lineRule="exact"/>
      <w:widowControl/>
    </w:pPr>
    <w:rPr>
      <w:rFonts w:ascii="Verdana" w:hAnsi="Verdana" w:eastAsia="仿宋_GB2312"/>
      <w:sz w:val="24"/>
      <w:szCs w:val="20"/>
      <w:lang w:eastAsia="en-US"/>
    </w:rPr>
  </w:style>
  <w:style w:type="paragraph" w:styleId="1157">
    <w:name w:val="Char Char1"/>
    <w:basedOn w:val="1048"/>
    <w:next w:val="1157"/>
    <w:link w:val="1023"/>
    <w:qFormat/>
    <w:rPr>
      <w:rFonts w:ascii="Tahoma" w:hAnsi="Tahoma"/>
      <w:sz w:val="24"/>
    </w:rPr>
  </w:style>
  <w:style w:type="paragraph" w:styleId="1158">
    <w:name w:val="xl26"/>
    <w:basedOn w:val="1023"/>
    <w:next w:val="1158"/>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59">
    <w:name w:val="xl30"/>
    <w:basedOn w:val="1023"/>
    <w:next w:val="1159"/>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xl41"/>
    <w:basedOn w:val="1023"/>
    <w:next w:val="1160"/>
    <w:link w:val="102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1">
    <w:name w:val="样式 宋体 五号 行距: 单倍行距"/>
    <w:basedOn w:val="1023"/>
    <w:next w:val="1161"/>
    <w:link w:val="1023"/>
    <w:qFormat/>
    <w:pPr>
      <w:jc w:val="left"/>
    </w:pPr>
    <w:rPr>
      <w:rFonts w:ascii="宋体" w:hAnsi="宋体"/>
      <w:szCs w:val="20"/>
    </w:rPr>
  </w:style>
  <w:style w:type="paragraph" w:styleId="1162">
    <w:name w:val="Char1 Char Char Char1"/>
    <w:basedOn w:val="1023"/>
    <w:next w:val="1162"/>
    <w:link w:val="1023"/>
    <w:qFormat/>
    <w:rPr>
      <w:rFonts w:ascii="Tahoma" w:hAnsi="Tahoma" w:cs="仿宋_GB2312"/>
      <w:sz w:val="24"/>
      <w:szCs w:val="28"/>
    </w:rPr>
  </w:style>
  <w:style w:type="paragraph" w:styleId="1163">
    <w:name w:val="四级条标题"/>
    <w:basedOn w:val="1164"/>
    <w:next w:val="1023"/>
    <w:link w:val="1023"/>
    <w:qFormat/>
    <w:pPr>
      <w:numPr>
        <w:ilvl w:val="4"/>
      </w:numPr>
      <w:ind w:left="0" w:hanging="840"/>
      <w:tabs>
        <w:tab w:val="left" w:pos="360" w:leader="none"/>
        <w:tab w:val="left" w:pos="840" w:leader="none"/>
      </w:tabs>
      <w:outlineLvl w:val="4"/>
    </w:pPr>
  </w:style>
  <w:style w:type="paragraph" w:styleId="1164">
    <w:name w:val="三级条标题"/>
    <w:basedOn w:val="1126"/>
    <w:next w:val="1023"/>
    <w:link w:val="1023"/>
    <w:qFormat/>
    <w:pPr>
      <w:numPr>
        <w:ilvl w:val="3"/>
        <w:numId w:val="1"/>
      </w:numPr>
      <w:ind w:left="0" w:hanging="840"/>
      <w:tabs>
        <w:tab w:val="left" w:pos="360" w:leader="none"/>
        <w:tab w:val="left" w:pos="840" w:leader="none"/>
      </w:tabs>
      <w:outlineLvl w:val="3"/>
    </w:pPr>
  </w:style>
  <w:style w:type="paragraph" w:styleId="1165">
    <w:name w:val="??"/>
    <w:next w:val="1165"/>
    <w:link w:val="1023"/>
    <w:qFormat/>
    <w:pPr>
      <w:jc w:val="both"/>
      <w:widowControl w:val="off"/>
    </w:pPr>
    <w:rPr>
      <w:sz w:val="21"/>
      <w:lang w:val="en-US" w:eastAsia="en-US" w:bidi="ar-SA"/>
    </w:rPr>
  </w:style>
  <w:style w:type="paragraph" w:styleId="1166">
    <w:name w:val="样式 标题 2 + 宋体 五号 行距: 单倍行距"/>
    <w:basedOn w:val="1025"/>
    <w:next w:val="1166"/>
    <w:link w:val="1023"/>
    <w:qFormat/>
    <w:pPr>
      <w:numPr>
        <w:ilvl w:val="1"/>
        <w:numId w:val="4"/>
      </w:numPr>
      <w:jc w:val="left"/>
      <w:spacing w:before="260" w:after="260" w:line="240" w:lineRule="auto"/>
      <w:tabs>
        <w:tab w:val="left" w:pos="1188" w:leader="none"/>
        <w:tab w:val="right" w:pos="8937" w:leader="dot"/>
      </w:tabs>
    </w:pPr>
    <w:rPr>
      <w:rFonts w:ascii="宋体" w:hAnsi="宋体" w:eastAsia="宋体"/>
      <w:bCs/>
      <w:sz w:val="21"/>
    </w:rPr>
  </w:style>
  <w:style w:type="paragraph" w:styleId="1167">
    <w:name w:val="List Paragraph1"/>
    <w:basedOn w:val="1023"/>
    <w:next w:val="1167"/>
    <w:link w:val="1023"/>
    <w:qFormat/>
    <w:pPr>
      <w:ind w:firstLine="420"/>
    </w:pPr>
    <w:rPr>
      <w:rFonts w:ascii="Calibri" w:hAnsi="Calibri"/>
      <w:szCs w:val="22"/>
    </w:rPr>
  </w:style>
  <w:style w:type="paragraph" w:styleId="1168">
    <w:name w:val="项目符号1"/>
    <w:basedOn w:val="1169"/>
    <w:next w:val="1168"/>
    <w:link w:val="1023"/>
    <w:qFormat/>
    <w:pPr>
      <w:ind w:left="-25" w:firstLine="0"/>
    </w:pPr>
  </w:style>
  <w:style w:type="paragraph" w:styleId="1169">
    <w:name w:val="正文文本样式"/>
    <w:basedOn w:val="1023"/>
    <w:next w:val="1169"/>
    <w:link w:val="1023"/>
    <w:qFormat/>
    <w:pPr>
      <w:ind w:firstLine="482"/>
      <w:spacing w:line="360" w:lineRule="auto"/>
    </w:pPr>
    <w:rPr>
      <w:rFonts w:cs="宋体"/>
      <w:sz w:val="24"/>
      <w:szCs w:val="20"/>
    </w:rPr>
  </w:style>
  <w:style w:type="paragraph" w:styleId="1170">
    <w:name w:val="xl27"/>
    <w:basedOn w:val="1023"/>
    <w:next w:val="1170"/>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1">
    <w:name w:val="font5"/>
    <w:basedOn w:val="1023"/>
    <w:next w:val="1171"/>
    <w:link w:val="1023"/>
    <w:qFormat/>
    <w:pPr>
      <w:jc w:val="left"/>
      <w:spacing w:before="100" w:beforeAutospacing="1" w:after="100" w:afterAutospacing="1"/>
      <w:widowControl/>
    </w:pPr>
    <w:rPr>
      <w:rFonts w:ascii="宋体" w:hAnsi="宋体" w:cs="宋体"/>
      <w:sz w:val="18"/>
      <w:szCs w:val="18"/>
    </w:rPr>
  </w:style>
  <w:style w:type="paragraph" w:styleId="1172">
    <w:name w:val="五级条标题"/>
    <w:basedOn w:val="1163"/>
    <w:next w:val="1023"/>
    <w:link w:val="1023"/>
    <w:qFormat/>
    <w:pPr>
      <w:numPr>
        <w:ilvl w:val="5"/>
      </w:numPr>
      <w:ind w:left="0" w:hanging="840"/>
      <w:tabs>
        <w:tab w:val="left" w:pos="360" w:leader="none"/>
        <w:tab w:val="left" w:pos="840" w:leader="none"/>
      </w:tabs>
      <w:outlineLvl w:val="5"/>
    </w:pPr>
  </w:style>
  <w:style w:type="paragraph" w:styleId="1173">
    <w:name w:val="xl49"/>
    <w:basedOn w:val="1023"/>
    <w:next w:val="1173"/>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74">
    <w:name w:val="文档正文"/>
    <w:basedOn w:val="1023"/>
    <w:next w:val="1174"/>
    <w:link w:val="1023"/>
    <w:qFormat/>
    <w:pPr>
      <w:spacing w:before="120" w:after="120" w:line="180" w:lineRule="auto"/>
    </w:pPr>
    <w:rPr>
      <w:rFonts w:ascii="Arial" w:hAnsi="Arial"/>
      <w:szCs w:val="20"/>
    </w:rPr>
  </w:style>
  <w:style w:type="paragraph" w:styleId="1175">
    <w:name w:val="xl33"/>
    <w:basedOn w:val="1023"/>
    <w:next w:val="1175"/>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6">
    <w:name w:val="xl42"/>
    <w:basedOn w:val="1023"/>
    <w:next w:val="1176"/>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77">
    <w:name w:val="Char Char Char1 Char"/>
    <w:basedOn w:val="1023"/>
    <w:next w:val="1177"/>
    <w:link w:val="1023"/>
    <w:qFormat/>
    <w:rPr>
      <w:rFonts w:ascii="Tahoma" w:hAnsi="Tahoma"/>
      <w:sz w:val="24"/>
      <w:szCs w:val="20"/>
    </w:rPr>
  </w:style>
  <w:style w:type="paragraph" w:styleId="1178">
    <w:name w:val="xl44"/>
    <w:basedOn w:val="1023"/>
    <w:next w:val="1178"/>
    <w:link w:val="10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79">
    <w:name w:val="1名"/>
    <w:basedOn w:val="1023"/>
    <w:next w:val="1179"/>
    <w:link w:val="1023"/>
    <w:qFormat/>
    <w:pPr>
      <w:numPr>
        <w:ilvl w:val="0"/>
        <w:numId w:val="5"/>
      </w:numPr>
      <w:spacing w:before="120"/>
      <w:tabs>
        <w:tab w:val="left" w:pos="360" w:leader="none"/>
      </w:tabs>
    </w:pPr>
    <w:rPr>
      <w:rFonts w:ascii="宋体"/>
      <w:sz w:val="28"/>
      <w:szCs w:val="20"/>
    </w:rPr>
  </w:style>
  <w:style w:type="paragraph" w:styleId="1180">
    <w:name w:val="font9"/>
    <w:basedOn w:val="1023"/>
    <w:next w:val="1180"/>
    <w:link w:val="1023"/>
    <w:qFormat/>
    <w:pPr>
      <w:jc w:val="left"/>
      <w:spacing w:before="100" w:beforeAutospacing="1" w:after="100" w:afterAutospacing="1"/>
      <w:widowControl/>
    </w:pPr>
    <w:rPr>
      <w:rFonts w:hint="eastAsia" w:ascii="宋体" w:hAnsi="宋体" w:cs="Arial Unicode MS"/>
      <w:color w:val="000000"/>
      <w:sz w:val="20"/>
      <w:szCs w:val="20"/>
    </w:rPr>
  </w:style>
  <w:style w:type="paragraph" w:styleId="1181">
    <w:name w:val="Char Char Char1 Char1"/>
    <w:basedOn w:val="1023"/>
    <w:next w:val="1181"/>
    <w:link w:val="1023"/>
    <w:qFormat/>
    <w:rPr>
      <w:rFonts w:ascii="Tahoma" w:hAnsi="Tahoma"/>
      <w:sz w:val="24"/>
      <w:szCs w:val="20"/>
    </w:rPr>
  </w:style>
  <w:style w:type="paragraph" w:styleId="1182">
    <w:name w:val="Char Char Char Char Char Char Char Char Char Char"/>
    <w:basedOn w:val="1023"/>
    <w:next w:val="1182"/>
    <w:link w:val="1023"/>
    <w:qFormat/>
  </w:style>
  <w:style w:type="paragraph" w:styleId="1183">
    <w:name w:val="Char Char1 Char Char Char Char Char Char Char Char"/>
    <w:basedOn w:val="1023"/>
    <w:next w:val="1183"/>
    <w:link w:val="1023"/>
    <w:qFormat/>
    <w:pPr>
      <w:jc w:val="left"/>
      <w:spacing w:after="160" w:line="240" w:lineRule="exact"/>
      <w:widowControl/>
    </w:pPr>
    <w:rPr>
      <w:rFonts w:ascii="Verdana" w:hAnsi="Verdana"/>
      <w:sz w:val="20"/>
      <w:szCs w:val="20"/>
      <w:lang w:eastAsia="en-US"/>
    </w:rPr>
  </w:style>
  <w:style w:type="paragraph" w:styleId="1184">
    <w:name w:val="Char1"/>
    <w:basedOn w:val="1023"/>
    <w:next w:val="1184"/>
    <w:link w:val="1023"/>
    <w:qFormat/>
    <w:pPr>
      <w:tabs>
        <w:tab w:val="left" w:pos="360" w:leader="none"/>
      </w:tabs>
    </w:pPr>
    <w:rPr>
      <w:sz w:val="24"/>
    </w:rPr>
  </w:style>
  <w:style w:type="paragraph" w:styleId="1185">
    <w:name w:val="正文列项_字母"/>
    <w:basedOn w:val="1023"/>
    <w:next w:val="1185"/>
    <w:link w:val="1023"/>
    <w:qFormat/>
    <w:pPr>
      <w:numPr>
        <w:ilvl w:val="6"/>
        <w:numId w:val="1"/>
      </w:numPr>
      <w:ind w:left="480" w:hanging="180"/>
      <w:spacing w:line="460" w:lineRule="exact"/>
      <w:tabs>
        <w:tab w:val="clear" w:pos="635" w:leader="none"/>
      </w:tabs>
      <w:outlineLvl w:val="6"/>
    </w:pPr>
    <w:rPr>
      <w:rFonts w:ascii="宋体"/>
      <w:sz w:val="28"/>
      <w:szCs w:val="20"/>
    </w:rPr>
  </w:style>
  <w:style w:type="paragraph" w:styleId="1186">
    <w:name w:val="xl28"/>
    <w:basedOn w:val="1023"/>
    <w:next w:val="1186"/>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7">
    <w:name w:val="xl47"/>
    <w:basedOn w:val="1023"/>
    <w:next w:val="1187"/>
    <w:link w:val="102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8">
    <w:name w:val="默认段落字体 Para Char Char Char Char"/>
    <w:basedOn w:val="1023"/>
    <w:next w:val="1188"/>
    <w:link w:val="1023"/>
    <w:qFormat/>
    <w:rPr>
      <w:rFonts w:ascii="Arial" w:hAnsi="Arial" w:cs="Arial"/>
      <w:szCs w:val="21"/>
    </w:rPr>
  </w:style>
  <w:style w:type="paragraph" w:styleId="1189">
    <w:name w:val="xl48"/>
    <w:basedOn w:val="1023"/>
    <w:next w:val="1189"/>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0">
    <w:name w:val="xl31"/>
    <w:basedOn w:val="1023"/>
    <w:next w:val="1190"/>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1">
    <w:name w:val="xl53"/>
    <w:basedOn w:val="1023"/>
    <w:next w:val="1191"/>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2">
    <w:name w:val="Char Char Char"/>
    <w:basedOn w:val="1023"/>
    <w:next w:val="1192"/>
    <w:link w:val="1023"/>
    <w:qFormat/>
    <w:rPr>
      <w:rFonts w:ascii="Tahoma" w:hAnsi="Tahoma"/>
      <w:sz w:val="24"/>
      <w:szCs w:val="20"/>
    </w:rPr>
  </w:style>
  <w:style w:type="paragraph" w:styleId="1193">
    <w:name w:val="xl50"/>
    <w:basedOn w:val="1023"/>
    <w:next w:val="1193"/>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94">
    <w:name w:val="缺省文本"/>
    <w:basedOn w:val="1023"/>
    <w:next w:val="1194"/>
    <w:link w:val="1023"/>
    <w:qFormat/>
    <w:pPr>
      <w:jc w:val="left"/>
    </w:pPr>
    <w:rPr>
      <w:sz w:val="24"/>
    </w:rPr>
  </w:style>
  <w:style w:type="paragraph" w:styleId="1195">
    <w:name w:val="Char Char Char1"/>
    <w:basedOn w:val="1023"/>
    <w:next w:val="1195"/>
    <w:link w:val="1023"/>
    <w:qFormat/>
    <w:rPr>
      <w:rFonts w:ascii="Tahoma" w:hAnsi="Tahoma"/>
      <w:sz w:val="24"/>
      <w:szCs w:val="20"/>
    </w:rPr>
  </w:style>
  <w:style w:type="paragraph" w:styleId="1196">
    <w:name w:val="Char Char Char Char Char Char Char1"/>
    <w:basedOn w:val="1023"/>
    <w:next w:val="1196"/>
    <w:link w:val="1023"/>
    <w:qFormat/>
    <w:pPr>
      <w:ind w:firstLine="200"/>
      <w:spacing w:line="360" w:lineRule="auto"/>
    </w:pPr>
    <w:rPr>
      <w:rFonts w:eastAsia="仿宋_GB2312"/>
      <w:sz w:val="24"/>
    </w:rPr>
  </w:style>
  <w:style w:type="paragraph" w:styleId="1197">
    <w:name w:val="xl51"/>
    <w:basedOn w:val="1023"/>
    <w:next w:val="1197"/>
    <w:link w:val="102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样式2"/>
    <w:basedOn w:val="1085"/>
    <w:next w:val="1198"/>
    <w:link w:val="1023"/>
    <w:qFormat/>
    <w:pPr>
      <w:jc w:val="center"/>
      <w:spacing w:line="360" w:lineRule="auto"/>
    </w:pPr>
    <w:rPr>
      <w:sz w:val="24"/>
    </w:rPr>
  </w:style>
  <w:style w:type="paragraph" w:styleId="1199">
    <w:name w:val="xl24"/>
    <w:basedOn w:val="1023"/>
    <w:next w:val="1199"/>
    <w:link w:val="102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xl29"/>
    <w:basedOn w:val="1023"/>
    <w:next w:val="1200"/>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1">
    <w:name w:val="正文 + 楷体_GB2312"/>
    <w:basedOn w:val="1023"/>
    <w:next w:val="1201"/>
    <w:link w:val="1023"/>
    <w:qFormat/>
    <w:pPr>
      <w:jc w:val="left"/>
      <w:widowControl/>
    </w:pPr>
    <w:rPr>
      <w:rFonts w:ascii="楷体_GB2312" w:eastAsia="楷体_GB2312" w:cs="Arial"/>
      <w:sz w:val="24"/>
    </w:rPr>
  </w:style>
  <w:style w:type="paragraph" w:styleId="1202">
    <w:name w:val="xl34"/>
    <w:basedOn w:val="1023"/>
    <w:next w:val="1202"/>
    <w:link w:val="102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03">
    <w:name w:val="1 Char Char Char Char"/>
    <w:basedOn w:val="1023"/>
    <w:next w:val="1203"/>
    <w:link w:val="1023"/>
    <w:qFormat/>
    <w:rPr>
      <w:rFonts w:ascii="Tahoma" w:hAnsi="Tahoma"/>
      <w:sz w:val="24"/>
      <w:szCs w:val="20"/>
    </w:rPr>
  </w:style>
  <w:style w:type="paragraph" w:styleId="1204">
    <w:name w:val="列出段落1"/>
    <w:basedOn w:val="1023"/>
    <w:next w:val="1204"/>
    <w:link w:val="1023"/>
    <w:qFormat/>
    <w:pPr>
      <w:ind w:firstLine="420"/>
    </w:pPr>
    <w:rPr>
      <w:rFonts w:ascii="Calibri" w:hAnsi="Calibri"/>
      <w:szCs w:val="22"/>
    </w:rPr>
  </w:style>
  <w:style w:type="paragraph" w:styleId="1205">
    <w:name w:val="default"/>
    <w:basedOn w:val="1023"/>
    <w:next w:val="1205"/>
    <w:link w:val="1023"/>
    <w:qFormat/>
    <w:pPr>
      <w:jc w:val="left"/>
      <w:spacing w:before="100" w:beforeAutospacing="1" w:after="100" w:afterAutospacing="1"/>
      <w:widowControl/>
    </w:pPr>
    <w:rPr>
      <w:rFonts w:ascii="宋体" w:hAnsi="宋体" w:cs="宋体"/>
      <w:sz w:val="24"/>
    </w:rPr>
  </w:style>
  <w:style w:type="paragraph" w:styleId="1206">
    <w:name w:val="字元 字元1"/>
    <w:basedOn w:val="1023"/>
    <w:next w:val="1206"/>
    <w:link w:val="1023"/>
    <w:qFormat/>
    <w:rPr>
      <w:rFonts w:ascii="Tahoma" w:hAnsi="Tahoma"/>
      <w:sz w:val="24"/>
      <w:szCs w:val="20"/>
    </w:rPr>
  </w:style>
  <w:style w:type="paragraph" w:styleId="1207">
    <w:name w:val="_Style 160"/>
    <w:next w:val="1207"/>
    <w:link w:val="1023"/>
    <w:qFormat/>
    <w:rPr>
      <w:sz w:val="21"/>
      <w:szCs w:val="24"/>
      <w:lang w:val="en-US" w:eastAsia="zh-CN" w:bidi="ar-SA"/>
    </w:rPr>
  </w:style>
  <w:style w:type="paragraph" w:styleId="1208">
    <w:name w:val="项目编号3"/>
    <w:basedOn w:val="1169"/>
    <w:next w:val="1208"/>
    <w:link w:val="1023"/>
    <w:qFormat/>
    <w:pPr>
      <w:numPr>
        <w:ilvl w:val="0"/>
        <w:numId w:val="6"/>
      </w:numPr>
    </w:pPr>
  </w:style>
  <w:style w:type="paragraph" w:styleId="1209">
    <w:name w:val="Char21"/>
    <w:basedOn w:val="1023"/>
    <w:next w:val="1209"/>
    <w:link w:val="1023"/>
    <w:qFormat/>
    <w:rPr>
      <w:rFonts w:ascii="Tahoma" w:hAnsi="Tahoma"/>
      <w:sz w:val="24"/>
      <w:szCs w:val="20"/>
    </w:rPr>
  </w:style>
  <w:style w:type="paragraph" w:styleId="1210">
    <w:name w:val="表格文字"/>
    <w:basedOn w:val="1056"/>
    <w:next w:val="1210"/>
    <w:link w:val="1023"/>
    <w:qFormat/>
    <w:pPr>
      <w:ind w:firstLine="0"/>
      <w:spacing w:before="20" w:after="20" w:line="240" w:lineRule="auto"/>
    </w:pPr>
    <w:rPr>
      <w:rFonts w:ascii="Century Gothic" w:hAnsi="Century Gothic"/>
      <w:sz w:val="20"/>
      <w:szCs w:val="20"/>
    </w:rPr>
  </w:style>
  <w:style w:type="paragraph" w:styleId="1211">
    <w:name w:val="Char Char Char Char Char Char Char Char Char Char1"/>
    <w:basedOn w:val="1023"/>
    <w:next w:val="1211"/>
    <w:link w:val="1023"/>
    <w:qFormat/>
    <w:rPr>
      <w:rFonts w:ascii="宋体" w:hAnsi="宋体" w:cs="Courier New"/>
      <w:sz w:val="32"/>
      <w:szCs w:val="32"/>
    </w:rPr>
  </w:style>
  <w:style w:type="paragraph" w:styleId="1212">
    <w:name w:val="正文文本样式 加粗"/>
    <w:basedOn w:val="1169"/>
    <w:next w:val="1212"/>
    <w:link w:val="1023"/>
    <w:qFormat/>
    <w:rPr>
      <w:b/>
    </w:rPr>
  </w:style>
  <w:style w:type="paragraph" w:styleId="1213">
    <w:name w:val="Char2 Char Char Char Char Char Char"/>
    <w:basedOn w:val="1023"/>
    <w:next w:val="1213"/>
    <w:link w:val="1023"/>
    <w:qFormat/>
    <w:pPr>
      <w:jc w:val="center"/>
      <w:spacing w:line="400" w:lineRule="exact"/>
      <w:widowControl/>
    </w:pPr>
  </w:style>
  <w:style w:type="paragraph" w:styleId="1214">
    <w:name w:val="Char Char4"/>
    <w:basedOn w:val="1023"/>
    <w:next w:val="1214"/>
    <w:link w:val="1023"/>
    <w:qFormat/>
    <w:pPr>
      <w:jc w:val="center"/>
      <w:spacing w:line="400" w:lineRule="exact"/>
      <w:widowControl/>
    </w:pPr>
  </w:style>
  <w:style w:type="paragraph" w:styleId="1215">
    <w:name w:val="Char3 Char Char Char1"/>
    <w:basedOn w:val="1023"/>
    <w:next w:val="1215"/>
    <w:link w:val="1023"/>
    <w:qFormat/>
    <w:rPr>
      <w:rFonts w:ascii="Tahoma" w:hAnsi="Tahoma"/>
      <w:sz w:val="24"/>
      <w:szCs w:val="20"/>
    </w:rPr>
  </w:style>
  <w:style w:type="paragraph" w:styleId="1216">
    <w:name w:val="无间隔"/>
    <w:next w:val="1216"/>
    <w:link w:val="1023"/>
    <w:qFormat/>
    <w:pPr>
      <w:jc w:val="both"/>
      <w:widowControl w:val="off"/>
    </w:pPr>
    <w:rPr>
      <w:sz w:val="21"/>
      <w:szCs w:val="24"/>
      <w:lang w:val="en-US" w:eastAsia="zh-CN" w:bidi="ar-SA"/>
    </w:rPr>
  </w:style>
  <w:style w:type="paragraph" w:styleId="1217">
    <w:name w:val="22222222222222"/>
    <w:basedOn w:val="1023"/>
    <w:next w:val="1217"/>
    <w:link w:val="1023"/>
    <w:qFormat/>
    <w:pPr>
      <w:ind w:firstLine="480"/>
      <w:jc w:val="left"/>
      <w:spacing w:line="360" w:lineRule="auto"/>
      <w:widowControl/>
    </w:pPr>
    <w:rPr>
      <w:color w:val="ff0000"/>
      <w:sz w:val="24"/>
      <w:szCs w:val="20"/>
    </w:rPr>
  </w:style>
  <w:style w:type="character" w:styleId="1218">
    <w:name w:val="中等深浅网格 1 - 强调文字颜色 2 Char"/>
    <w:next w:val="1218"/>
    <w:link w:val="1219"/>
    <w:qFormat/>
    <w:rPr>
      <w:sz w:val="21"/>
      <w:szCs w:val="24"/>
      <w:lang w:val="zh-CN" w:eastAsia="zh-CN" w:bidi="ar-SA"/>
    </w:rPr>
  </w:style>
  <w:style w:type="paragraph" w:styleId="1219">
    <w:name w:val="1"/>
    <w:next w:val="1219"/>
    <w:link w:val="1218"/>
    <w:qFormat/>
    <w:rPr>
      <w:sz w:val="21"/>
      <w:szCs w:val="24"/>
      <w:lang w:val="zh-CN" w:eastAsia="zh-CN" w:bidi="ar-SA"/>
    </w:rPr>
  </w:style>
  <w:style w:type="paragraph" w:styleId="1220">
    <w:name w:val="图文"/>
    <w:basedOn w:val="1023"/>
    <w:next w:val="1220"/>
    <w:link w:val="1023"/>
    <w:qFormat/>
    <w:pPr>
      <w:spacing w:after="50" w:line="360" w:lineRule="auto"/>
    </w:pPr>
    <w:rPr>
      <w:sz w:val="24"/>
    </w:rPr>
  </w:style>
  <w:style w:type="paragraph" w:styleId="1221">
    <w:name w:val="xl23"/>
    <w:basedOn w:val="1023"/>
    <w:next w:val="1221"/>
    <w:link w:val="1023"/>
    <w:qFormat/>
    <w:pPr>
      <w:spacing w:before="100" w:beforeAutospacing="1" w:after="100" w:afterAutospacing="1" w:line="360" w:lineRule="auto"/>
      <w:widowControl/>
    </w:pPr>
    <w:rPr>
      <w:sz w:val="24"/>
      <w:szCs w:val="20"/>
    </w:rPr>
  </w:style>
  <w:style w:type="paragraph" w:styleId="1222">
    <w:name w:val="正文表格"/>
    <w:basedOn w:val="1023"/>
    <w:next w:val="1222"/>
    <w:link w:val="1223"/>
    <w:qFormat/>
    <w:pPr>
      <w:jc w:val="left"/>
    </w:pPr>
    <w:rPr>
      <w:rFonts w:ascii="宋体" w:hAnsi="宋体"/>
      <w:color w:val="000000"/>
      <w:szCs w:val="21"/>
    </w:rPr>
  </w:style>
  <w:style w:type="character" w:styleId="1223">
    <w:name w:val="正文表格 Char"/>
    <w:next w:val="1223"/>
    <w:link w:val="1222"/>
    <w:qFormat/>
    <w:rPr>
      <w:rFonts w:ascii="宋体" w:hAnsi="宋体"/>
      <w:color w:val="000000"/>
      <w:sz w:val="21"/>
      <w:szCs w:val="21"/>
    </w:rPr>
  </w:style>
  <w:style w:type="paragraph" w:styleId="1224">
    <w:name w:val="正文重点"/>
    <w:basedOn w:val="1023"/>
    <w:next w:val="1224"/>
    <w:link w:val="1225"/>
    <w:qFormat/>
    <w:pPr>
      <w:ind w:firstLine="482"/>
      <w:jc w:val="left"/>
      <w:spacing w:line="360" w:lineRule="auto"/>
    </w:pPr>
    <w:rPr>
      <w:b/>
      <w:sz w:val="24"/>
      <w:szCs w:val="20"/>
    </w:rPr>
  </w:style>
  <w:style w:type="character" w:styleId="1225">
    <w:name w:val="正文重点 Char"/>
    <w:next w:val="1225"/>
    <w:link w:val="1224"/>
    <w:qFormat/>
    <w:rPr>
      <w:b/>
      <w:sz w:val="24"/>
    </w:rPr>
  </w:style>
  <w:style w:type="paragraph" w:styleId="1226">
    <w:name w:val="标题1-附件"/>
    <w:basedOn w:val="1024"/>
    <w:next w:val="1226"/>
    <w:link w:val="1023"/>
    <w:qFormat/>
    <w:pPr>
      <w:jc w:val="left"/>
    </w:pPr>
    <w:rPr>
      <w:sz w:val="24"/>
      <w:szCs w:val="24"/>
    </w:rPr>
  </w:style>
  <w:style w:type="paragraph" w:styleId="1227">
    <w:name w:val="正文小标题"/>
    <w:basedOn w:val="1023"/>
    <w:next w:val="1037"/>
    <w:link w:val="1228"/>
    <w:qFormat/>
    <w:pPr>
      <w:ind w:firstLine="482"/>
      <w:jc w:val="left"/>
      <w:spacing w:before="312" w:after="312"/>
    </w:pPr>
    <w:rPr>
      <w:rFonts w:ascii="宋体" w:hAnsi="宋体"/>
      <w:b/>
      <w:i/>
      <w:color w:val="ff0000"/>
      <w:sz w:val="24"/>
      <w:szCs w:val="20"/>
    </w:rPr>
  </w:style>
  <w:style w:type="character" w:styleId="1228">
    <w:name w:val="正文小标题 Char"/>
    <w:next w:val="1228"/>
    <w:link w:val="1227"/>
    <w:qFormat/>
    <w:rPr>
      <w:rFonts w:ascii="宋体" w:hAnsi="宋体"/>
      <w:b/>
      <w:i/>
      <w:color w:val="ff0000"/>
      <w:sz w:val="24"/>
    </w:rPr>
  </w:style>
  <w:style w:type="paragraph" w:styleId="1229">
    <w:name w:val="正文大标题"/>
    <w:basedOn w:val="1227"/>
    <w:next w:val="1037"/>
    <w:link w:val="1230"/>
    <w:qFormat/>
    <w:pPr>
      <w:jc w:val="center"/>
    </w:pPr>
    <w:rPr>
      <w:i w:val="0"/>
      <w:color w:val="000000"/>
      <w:sz w:val="28"/>
      <w:szCs w:val="21"/>
    </w:rPr>
  </w:style>
  <w:style w:type="character" w:styleId="1230">
    <w:name w:val="正文大标题 Char"/>
    <w:next w:val="1230"/>
    <w:link w:val="1229"/>
    <w:qFormat/>
    <w:rPr>
      <w:rFonts w:ascii="宋体" w:hAnsi="宋体"/>
      <w:b/>
      <w:color w:val="000000"/>
      <w:sz w:val="28"/>
      <w:szCs w:val="21"/>
    </w:rPr>
  </w:style>
  <w:style w:type="paragraph" w:styleId="1231">
    <w:name w:val="注释"/>
    <w:basedOn w:val="1023"/>
    <w:next w:val="1231"/>
    <w:link w:val="1232"/>
    <w:qFormat/>
    <w:pPr>
      <w:ind w:left="420" w:hanging="420"/>
      <w:jc w:val="left"/>
    </w:pPr>
    <w:rPr>
      <w:rFonts w:ascii="宋体" w:hAnsi="宋体"/>
      <w:szCs w:val="21"/>
    </w:rPr>
  </w:style>
  <w:style w:type="character" w:styleId="1232">
    <w:name w:val="注释 Char"/>
    <w:next w:val="1232"/>
    <w:link w:val="1231"/>
    <w:qFormat/>
    <w:rPr>
      <w:rFonts w:ascii="宋体" w:hAnsi="宋体"/>
      <w:sz w:val="21"/>
      <w:szCs w:val="21"/>
    </w:rPr>
  </w:style>
  <w:style w:type="paragraph" w:styleId="1233">
    <w:name w:val="正文须知-1级"/>
    <w:basedOn w:val="1023"/>
    <w:next w:val="1023"/>
    <w:link w:val="1023"/>
    <w:qFormat/>
    <w:pPr>
      <w:numPr>
        <w:ilvl w:val="0"/>
        <w:numId w:val="7"/>
      </w:numPr>
      <w:spacing w:line="300" w:lineRule="auto"/>
    </w:pPr>
    <w:rPr>
      <w:rFonts w:ascii="宋体" w:hAnsi="Calibri"/>
      <w:sz w:val="24"/>
      <w:szCs w:val="21"/>
    </w:rPr>
  </w:style>
  <w:style w:type="paragraph" w:styleId="1234">
    <w:name w:val="正文须知-2级"/>
    <w:basedOn w:val="1023"/>
    <w:next w:val="1234"/>
    <w:link w:val="1023"/>
    <w:qFormat/>
    <w:pPr>
      <w:numPr>
        <w:ilvl w:val="1"/>
        <w:numId w:val="7"/>
      </w:numPr>
      <w:spacing w:line="300" w:lineRule="auto"/>
    </w:pPr>
    <w:rPr>
      <w:rFonts w:ascii="宋体" w:hAnsi="Calibri"/>
      <w:sz w:val="24"/>
      <w:szCs w:val="21"/>
    </w:rPr>
  </w:style>
  <w:style w:type="paragraph" w:styleId="1235">
    <w:name w:val="正文须知-3级"/>
    <w:basedOn w:val="1023"/>
    <w:next w:val="1235"/>
    <w:link w:val="1023"/>
    <w:qFormat/>
    <w:pPr>
      <w:numPr>
        <w:ilvl w:val="2"/>
        <w:numId w:val="7"/>
      </w:numPr>
      <w:ind w:hanging="355"/>
      <w:spacing w:line="300" w:lineRule="auto"/>
    </w:pPr>
    <w:rPr>
      <w:rFonts w:ascii="宋体" w:hAnsi="Calibri"/>
      <w:sz w:val="24"/>
      <w:szCs w:val="21"/>
    </w:rPr>
  </w:style>
  <w:style w:type="character" w:styleId="1236">
    <w:name w:val="纯文本 字符"/>
    <w:next w:val="1236"/>
    <w:link w:val="1023"/>
    <w:uiPriority w:val="99"/>
    <w:qFormat/>
    <w:rPr>
      <w:rFonts w:ascii="宋体" w:hAnsi="Courier New" w:eastAsia="宋体" w:cs="Times New Roman"/>
      <w:sz w:val="21"/>
      <w:szCs w:val="21"/>
      <w:lang w:val="en-US" w:eastAsia="zh-CN" w:bidi="ar-SA"/>
    </w:rPr>
  </w:style>
  <w:style w:type="paragraph" w:styleId="1237">
    <w:name w:val="表格1"/>
    <w:basedOn w:val="1023"/>
    <w:next w:val="1237"/>
    <w:link w:val="1023"/>
    <w:qFormat/>
    <w:pPr>
      <w:ind w:firstLine="480"/>
      <w:jc w:val="center"/>
    </w:pPr>
    <w:rPr>
      <w:sz w:val="24"/>
      <w:szCs w:val="20"/>
    </w:rPr>
  </w:style>
  <w:style w:type="character" w:styleId="1238">
    <w:name w:val="纯文本 字符1"/>
    <w:next w:val="1238"/>
    <w:link w:val="1023"/>
    <w:qFormat/>
    <w:rPr>
      <w:rFonts w:ascii="宋体" w:hAnsi="Courier New"/>
    </w:rPr>
  </w:style>
  <w:style w:type="character" w:styleId="1239">
    <w:name w:val="bjh-p"/>
    <w:next w:val="1239"/>
    <w:link w:val="1023"/>
    <w:qFormat/>
  </w:style>
  <w:style w:type="paragraph" w:styleId="1240">
    <w:name w:val="无标题条"/>
    <w:next w:val="1023"/>
    <w:link w:val="1023"/>
    <w:qFormat/>
    <w:pPr>
      <w:jc w:val="both"/>
    </w:pPr>
    <w:rPr>
      <w:sz w:val="21"/>
      <w:lang w:val="en-US" w:eastAsia="zh-CN" w:bidi="ar-SA"/>
    </w:rPr>
  </w:style>
  <w:style w:type="character" w:styleId="1241">
    <w:name w:val="正文格式 Char"/>
    <w:next w:val="1241"/>
    <w:link w:val="1242"/>
    <w:qFormat/>
    <w:rPr>
      <w:rFonts w:ascii="宋体" w:hAnsi="宋体"/>
      <w:sz w:val="24"/>
      <w:szCs w:val="24"/>
      <w:lang w:val="en-GB"/>
    </w:rPr>
  </w:style>
  <w:style w:type="paragraph" w:styleId="1242">
    <w:name w:val="正文格式"/>
    <w:basedOn w:val="1023"/>
    <w:next w:val="1242"/>
    <w:link w:val="1241"/>
    <w:qFormat/>
    <w:pPr>
      <w:ind w:firstLine="480"/>
      <w:spacing w:line="360" w:lineRule="auto"/>
    </w:pPr>
    <w:rPr>
      <w:rFonts w:ascii="宋体" w:hAnsi="宋体"/>
      <w:sz w:val="24"/>
      <w:lang w:val="en-GB"/>
    </w:rPr>
  </w:style>
  <w:style w:type="character" w:styleId="1243">
    <w:name w:val="标题 3 Char"/>
    <w:next w:val="1243"/>
    <w:link w:val="1023"/>
    <w:qFormat/>
    <w:rPr>
      <w:rFonts w:ascii="宋体" w:eastAsia="宋体"/>
      <w:b/>
      <w:sz w:val="24"/>
      <w:u w:val="single"/>
      <w:lang w:val="en-US" w:eastAsia="zh-CN" w:bidi="ar-SA"/>
    </w:rPr>
  </w:style>
  <w:style w:type="character" w:styleId="1244">
    <w:name w:val="正文缩进 Char"/>
    <w:next w:val="1244"/>
    <w:link w:val="1023"/>
    <w:qFormat/>
    <w:rPr>
      <w:rFonts w:ascii="宋体" w:eastAsia="宋体"/>
      <w:sz w:val="24"/>
      <w:szCs w:val="24"/>
      <w:lang w:val="en-US" w:eastAsia="zh-CN" w:bidi="ar-SA"/>
    </w:rPr>
  </w:style>
  <w:style w:type="character" w:styleId="1245">
    <w:name w:val="Char Char111"/>
    <w:next w:val="1245"/>
    <w:link w:val="1023"/>
    <w:qFormat/>
    <w:rPr>
      <w:rFonts w:ascii="宋体" w:eastAsia="宋体"/>
      <w:b/>
      <w:sz w:val="24"/>
      <w:u w:val="single"/>
      <w:lang w:val="en-US" w:eastAsia="zh-CN" w:bidi="ar-SA"/>
    </w:rPr>
  </w:style>
  <w:style w:type="character" w:styleId="1246">
    <w:name w:val="正文文本缩进 Char"/>
    <w:next w:val="1246"/>
    <w:link w:val="1023"/>
    <w:qFormat/>
    <w:rPr>
      <w:rFonts w:eastAsia="宋体"/>
      <w:sz w:val="24"/>
      <w:szCs w:val="24"/>
      <w:lang w:val="en-US" w:eastAsia="zh-CN" w:bidi="ar-SA"/>
    </w:rPr>
  </w:style>
  <w:style w:type="character" w:styleId="1247">
    <w:name w:val="列出段落 Char"/>
    <w:next w:val="1247"/>
    <w:link w:val="1023"/>
    <w:qFormat/>
    <w:rPr>
      <w:rFonts w:ascii="Calibri" w:hAnsi="Calibri" w:eastAsia="宋体"/>
      <w:sz w:val="21"/>
      <w:szCs w:val="22"/>
      <w:lang w:val="en-US" w:eastAsia="zh-CN" w:bidi="ar-SA"/>
    </w:rPr>
  </w:style>
  <w:style w:type="character" w:styleId="1248">
    <w:name w:val="页眉 Char"/>
    <w:next w:val="1248"/>
    <w:link w:val="1023"/>
    <w:qFormat/>
    <w:rPr>
      <w:rFonts w:eastAsia="宋体"/>
      <w:sz w:val="18"/>
      <w:szCs w:val="18"/>
      <w:lang w:val="en-US" w:eastAsia="zh-CN" w:bidi="ar-SA"/>
    </w:rPr>
  </w:style>
  <w:style w:type="character" w:styleId="1249">
    <w:name w:val="标题 2 Char"/>
    <w:next w:val="1249"/>
    <w:link w:val="1023"/>
    <w:qFormat/>
    <w:rPr>
      <w:rFonts w:ascii="Arial" w:hAnsi="Arial" w:eastAsia="黑体"/>
      <w:b/>
      <w:sz w:val="30"/>
      <w:lang w:val="en-US" w:eastAsia="zh-CN" w:bidi="ar-SA"/>
    </w:rPr>
  </w:style>
  <w:style w:type="paragraph" w:styleId="1250">
    <w:name w:val="字元 字元2"/>
    <w:basedOn w:val="1023"/>
    <w:next w:val="1250"/>
    <w:link w:val="1023"/>
    <w:qFormat/>
    <w:rPr>
      <w:rFonts w:ascii="Tahoma" w:hAnsi="Tahoma"/>
      <w:sz w:val="24"/>
      <w:szCs w:val="20"/>
    </w:rPr>
  </w:style>
  <w:style w:type="paragraph" w:styleId="1251">
    <w:name w:val="Char3 Char Char Char2"/>
    <w:basedOn w:val="1023"/>
    <w:next w:val="1251"/>
    <w:link w:val="1023"/>
    <w:qFormat/>
    <w:rPr>
      <w:rFonts w:ascii="Tahoma" w:hAnsi="Tahoma"/>
      <w:sz w:val="24"/>
      <w:szCs w:val="20"/>
    </w:rPr>
  </w:style>
  <w:style w:type="paragraph" w:styleId="1252">
    <w:name w:val="正文文本缩进2"/>
    <w:basedOn w:val="1023"/>
    <w:next w:val="1252"/>
    <w:link w:val="1023"/>
    <w:qFormat/>
    <w:pPr>
      <w:ind w:firstLine="480"/>
      <w:spacing w:line="480" w:lineRule="exact"/>
    </w:pPr>
    <w:rPr>
      <w:rFonts w:ascii="宋体" w:hAnsi="宋体"/>
      <w:sz w:val="24"/>
      <w:lang w:val="zh-CN" w:eastAsia="zh-CN"/>
    </w:rPr>
  </w:style>
  <w:style w:type="paragraph" w:styleId="1253">
    <w:name w:val="Char3"/>
    <w:basedOn w:val="1023"/>
    <w:next w:val="1253"/>
    <w:link w:val="1023"/>
    <w:qFormat/>
    <w:pPr>
      <w:tabs>
        <w:tab w:val="left" w:pos="360" w:leader="none"/>
      </w:tabs>
    </w:pPr>
    <w:rPr>
      <w:sz w:val="24"/>
    </w:rPr>
  </w:style>
  <w:style w:type="paragraph" w:styleId="1254">
    <w:name w:val="Char Char Char Char Char Char Char Char Char Char Char Char Char Char Char Char1"/>
    <w:basedOn w:val="1023"/>
    <w:next w:val="1254"/>
    <w:link w:val="1023"/>
    <w:qFormat/>
    <w:pPr>
      <w:jc w:val="center"/>
      <w:spacing w:after="160" w:line="240" w:lineRule="exact"/>
      <w:widowControl/>
    </w:pPr>
    <w:rPr>
      <w:rFonts w:ascii="宋体" w:hAnsi="宋体"/>
      <w:b/>
      <w:sz w:val="30"/>
      <w:szCs w:val="30"/>
      <w:lang w:eastAsia="en-US"/>
    </w:rPr>
  </w:style>
  <w:style w:type="paragraph" w:styleId="1255">
    <w:name w:val="Char Char1 Char Char Char Char Char Char1"/>
    <w:basedOn w:val="1023"/>
    <w:next w:val="1255"/>
    <w:link w:val="1023"/>
    <w:qFormat/>
    <w:pPr>
      <w:jc w:val="left"/>
      <w:spacing w:after="160" w:line="240" w:lineRule="exact"/>
      <w:widowControl/>
    </w:pPr>
    <w:rPr>
      <w:rFonts w:ascii="Verdana" w:hAnsi="Verdana" w:eastAsia="仿宋_GB2312"/>
      <w:sz w:val="24"/>
      <w:szCs w:val="20"/>
      <w:lang w:eastAsia="en-US"/>
    </w:rPr>
  </w:style>
  <w:style w:type="paragraph" w:styleId="1256">
    <w:name w:val="列出段落2"/>
    <w:basedOn w:val="1023"/>
    <w:next w:val="1256"/>
    <w:link w:val="1023"/>
    <w:qFormat/>
    <w:pPr>
      <w:ind w:firstLine="420"/>
    </w:pPr>
    <w:rPr>
      <w:rFonts w:ascii="Calibri" w:hAnsi="Calibri"/>
      <w:szCs w:val="22"/>
    </w:rPr>
  </w:style>
  <w:style w:type="paragraph" w:styleId="1257">
    <w:name w:val="Char Char Char1 Char2"/>
    <w:basedOn w:val="1023"/>
    <w:next w:val="1257"/>
    <w:link w:val="1023"/>
    <w:qFormat/>
    <w:rPr>
      <w:rFonts w:ascii="Tahoma" w:hAnsi="Tahoma"/>
      <w:sz w:val="24"/>
      <w:szCs w:val="20"/>
    </w:rPr>
  </w:style>
  <w:style w:type="paragraph" w:styleId="1258">
    <w:name w:val="Char Char Char2"/>
    <w:basedOn w:val="1023"/>
    <w:next w:val="1258"/>
    <w:link w:val="1023"/>
    <w:qFormat/>
    <w:rPr>
      <w:rFonts w:ascii="Tahoma" w:hAnsi="Tahoma"/>
      <w:sz w:val="24"/>
      <w:szCs w:val="20"/>
    </w:rPr>
  </w:style>
  <w:style w:type="paragraph" w:styleId="1259">
    <w:name w:val="Char Char Char Char Char Char Char2"/>
    <w:basedOn w:val="1023"/>
    <w:next w:val="1259"/>
    <w:link w:val="1023"/>
    <w:qFormat/>
    <w:pPr>
      <w:ind w:firstLine="200"/>
      <w:spacing w:line="360" w:lineRule="auto"/>
    </w:pPr>
    <w:rPr>
      <w:rFonts w:eastAsia="仿宋_GB2312"/>
      <w:sz w:val="24"/>
    </w:rPr>
  </w:style>
  <w:style w:type="paragraph" w:styleId="1260">
    <w:name w:val="正文缩进2"/>
    <w:basedOn w:val="1023"/>
    <w:next w:val="1260"/>
    <w:link w:val="1023"/>
    <w:qFormat/>
    <w:pPr>
      <w:ind w:firstLine="567"/>
      <w:spacing w:line="480" w:lineRule="exact"/>
      <w:widowControl/>
    </w:pPr>
    <w:rPr>
      <w:rFonts w:ascii="宋体"/>
      <w:color w:val="000000"/>
      <w:sz w:val="28"/>
      <w:szCs w:val="20"/>
      <w:lang w:val="zh-CN" w:eastAsia="zh-CN"/>
    </w:rPr>
  </w:style>
  <w:style w:type="paragraph" w:styleId="1261">
    <w:name w:val="Revision"/>
    <w:next w:val="1261"/>
    <w:link w:val="1023"/>
    <w:qFormat/>
    <w:rPr>
      <w:sz w:val="21"/>
      <w:szCs w:val="24"/>
      <w:lang w:val="en-US" w:eastAsia="zh-CN" w:bidi="ar-SA"/>
    </w:rPr>
  </w:style>
  <w:style w:type="paragraph" w:styleId="1262">
    <w:name w:val="Char22"/>
    <w:basedOn w:val="1023"/>
    <w:next w:val="1262"/>
    <w:link w:val="1023"/>
    <w:qFormat/>
    <w:rPr>
      <w:rFonts w:ascii="Tahoma" w:hAnsi="Tahoma"/>
      <w:sz w:val="24"/>
      <w:szCs w:val="20"/>
    </w:rPr>
  </w:style>
  <w:style w:type="paragraph" w:styleId="1263">
    <w:name w:val="Char Char Char Char Char Char Char Char Char Char2"/>
    <w:basedOn w:val="1023"/>
    <w:next w:val="1263"/>
    <w:link w:val="1023"/>
    <w:qFormat/>
    <w:rPr>
      <w:rFonts w:ascii="宋体" w:hAnsi="宋体" w:cs="Courier New"/>
      <w:sz w:val="32"/>
      <w:szCs w:val="32"/>
    </w:rPr>
  </w:style>
  <w:style w:type="paragraph" w:styleId="1264">
    <w:name w:val="Char2 Char Char Char Char Char Char1"/>
    <w:basedOn w:val="1023"/>
    <w:next w:val="1264"/>
    <w:link w:val="1023"/>
    <w:qFormat/>
    <w:pPr>
      <w:jc w:val="center"/>
      <w:spacing w:line="400" w:lineRule="exact"/>
      <w:widowControl/>
    </w:pPr>
  </w:style>
  <w:style w:type="character" w:styleId="1265">
    <w:name w:val="页脚 Char"/>
    <w:next w:val="1265"/>
    <w:link w:val="1023"/>
    <w:qFormat/>
    <w:rPr>
      <w:rFonts w:ascii="宋体" w:eastAsia="宋体"/>
      <w:sz w:val="18"/>
      <w:lang w:val="en-US" w:eastAsia="zh-CN" w:bidi="ar-SA"/>
    </w:rPr>
  </w:style>
  <w:style w:type="paragraph" w:styleId="1266">
    <w:name w:val="Char Char41"/>
    <w:basedOn w:val="1023"/>
    <w:next w:val="1266"/>
    <w:link w:val="1023"/>
    <w:qFormat/>
    <w:pPr>
      <w:jc w:val="center"/>
      <w:spacing w:line="400" w:lineRule="exact"/>
      <w:widowControl/>
    </w:pPr>
  </w:style>
  <w:style w:type="character" w:styleId="1267">
    <w:name w:val="批注文字 Char"/>
    <w:next w:val="1267"/>
    <w:link w:val="1023"/>
    <w:uiPriority w:val="99"/>
    <w:qFormat/>
    <w:rPr>
      <w:sz w:val="21"/>
      <w:szCs w:val="24"/>
    </w:rPr>
  </w:style>
  <w:style w:type="character" w:styleId="1268">
    <w:name w:val="标题 Char"/>
    <w:next w:val="1268"/>
    <w:link w:val="1023"/>
    <w:qFormat/>
    <w:rPr>
      <w:b/>
      <w:sz w:val="32"/>
    </w:rPr>
  </w:style>
  <w:style w:type="paragraph" w:styleId="1269">
    <w:name w:val="图例"/>
    <w:basedOn w:val="1023"/>
    <w:next w:val="1269"/>
    <w:link w:val="1023"/>
    <w:qFormat/>
    <w:pPr>
      <w:jc w:val="center"/>
      <w:spacing w:before="120" w:after="120" w:line="360" w:lineRule="auto"/>
    </w:pPr>
    <w:rPr>
      <w:rFonts w:eastAsia="仿宋_GB2312"/>
      <w:b/>
      <w:sz w:val="24"/>
      <w:szCs w:val="20"/>
    </w:rPr>
  </w:style>
  <w:style w:type="table" w:styleId="1270">
    <w:name w:val="Table Normal"/>
    <w:next w:val="1270"/>
    <w:link w:val="1023"/>
    <w:uiPriority w:val="2"/>
    <w:unhideWhenUsed/>
    <w:qFormat/>
    <w:pPr>
      <w:widowControl w:val="off"/>
    </w:pPr>
    <w:rPr>
      <w:rFonts w:ascii="Calibri" w:hAnsi="Calibri"/>
      <w:sz w:val="22"/>
      <w:szCs w:val="22"/>
      <w:lang w:val="en-US" w:eastAsia="en-US" w:bidi="ar-SA"/>
    </w:rPr>
    <w:tblPr/>
  </w:style>
  <w:style w:type="paragraph" w:styleId="1271">
    <w:name w:val="Table Paragraph"/>
    <w:basedOn w:val="1023"/>
    <w:next w:val="1271"/>
    <w:link w:val="1023"/>
    <w:uiPriority w:val="1"/>
    <w:qFormat/>
    <w:pPr>
      <w:jc w:val="left"/>
    </w:pPr>
    <w:rPr>
      <w:rFonts w:ascii="宋体" w:hAnsi="宋体" w:cs="宋体"/>
      <w:sz w:val="22"/>
      <w:szCs w:val="22"/>
      <w:lang w:eastAsia="en-US"/>
    </w:rPr>
  </w:style>
  <w:style w:type="paragraph" w:styleId="1272">
    <w:name w:val="成文日期"/>
    <w:basedOn w:val="1023"/>
    <w:next w:val="1272"/>
    <w:link w:val="1273"/>
    <w:qFormat/>
    <w:pPr>
      <w:ind w:right="400" w:firstLine="200"/>
      <w:jc w:val="right"/>
      <w:spacing w:line="570" w:lineRule="exact"/>
    </w:pPr>
    <w:rPr>
      <w:rFonts w:ascii="仿宋_GB2312" w:eastAsia="仿宋_GB2312"/>
      <w:sz w:val="32"/>
      <w:szCs w:val="20"/>
    </w:rPr>
  </w:style>
  <w:style w:type="character" w:styleId="1273">
    <w:name w:val="成文日期 Char"/>
    <w:next w:val="1273"/>
    <w:link w:val="1272"/>
    <w:qFormat/>
    <w:rPr>
      <w:rFonts w:ascii="仿宋_GB2312" w:eastAsia="仿宋_GB2312"/>
      <w:sz w:val="32"/>
    </w:rPr>
  </w:style>
  <w:style w:type="paragraph" w:styleId="1274">
    <w:name w:val="修订"/>
    <w:next w:val="1274"/>
    <w:link w:val="1023"/>
    <w:uiPriority w:val="99"/>
    <w:unhideWhenUsed/>
    <w:rPr>
      <w:sz w:val="21"/>
      <w:szCs w:val="24"/>
      <w:lang w:val="en-US" w:eastAsia="zh-CN" w:bidi="ar-SA"/>
    </w:rPr>
  </w:style>
  <w:style w:type="paragraph" w:styleId="1275">
    <w:name w:val="正文1"/>
    <w:basedOn w:val="1023"/>
    <w:next w:val="1275"/>
    <w:link w:val="1023"/>
    <w:qFormat/>
    <w:pPr>
      <w:contextualSpacing/>
      <w:ind w:firstLine="200"/>
      <w:jc w:val="left"/>
      <w:spacing w:before="120" w:after="120"/>
      <w:widowControl/>
    </w:pPr>
    <w:rPr>
      <w:rFonts w:ascii="Calibri" w:hAnsi="Calibri" w:eastAsia="Adobe 仿宋 Std R"/>
      <w:sz w:val="20"/>
      <w:szCs w:val="21"/>
    </w:rPr>
  </w:style>
  <w:style w:type="character" w:styleId="1276">
    <w:name w:val="材料标题 Char"/>
    <w:next w:val="1276"/>
    <w:link w:val="1277"/>
    <w:qFormat/>
    <w:rPr>
      <w:rFonts w:ascii="方正小标宋简体" w:eastAsia="方正小标宋简体"/>
      <w:color w:val="000000"/>
      <w:sz w:val="44"/>
      <w:szCs w:val="44"/>
    </w:rPr>
  </w:style>
  <w:style w:type="paragraph" w:styleId="1277">
    <w:name w:val="材料标题"/>
    <w:basedOn w:val="1023"/>
    <w:next w:val="1277"/>
    <w:link w:val="1276"/>
    <w:qFormat/>
    <w:pPr>
      <w:jc w:val="center"/>
      <w:spacing w:line="700" w:lineRule="exact"/>
    </w:pPr>
    <w:rPr>
      <w:rFonts w:ascii="方正小标宋简体" w:eastAsia="方正小标宋简体"/>
      <w:color w:val="000000"/>
      <w:sz w:val="44"/>
      <w:szCs w:val="44"/>
    </w:rPr>
  </w:style>
  <w:style w:type="character" w:styleId="1278">
    <w:name w:val="未处理的提及"/>
    <w:next w:val="1278"/>
    <w:link w:val="1023"/>
    <w:uiPriority w:val="99"/>
    <w:unhideWhenUsed/>
    <w:rPr>
      <w:color w:val="605e5c"/>
      <w:shd w:val="clear" w:color="auto" w:fill="e1dfdd"/>
    </w:rPr>
  </w:style>
  <w:style w:type="character" w:styleId="1279">
    <w:name w:val="grame"/>
    <w:next w:val="1279"/>
    <w:link w:val="1023"/>
  </w:style>
  <w:style w:type="character" w:styleId="1280">
    <w:name w:val="font91"/>
    <w:next w:val="1280"/>
    <w:link w:val="1023"/>
    <w:rPr>
      <w:rFonts w:hint="eastAsia" w:ascii="宋体" w:hAnsi="宋体" w:eastAsia="宋体" w:cs="宋体"/>
      <w:b/>
      <w:bCs/>
      <w:i w:val="0"/>
      <w:iCs w:val="0"/>
      <w:color w:val="000000"/>
      <w:sz w:val="20"/>
      <w:szCs w:val="20"/>
      <w:u w:val="none"/>
    </w:rPr>
  </w:style>
  <w:style w:type="character" w:styleId="1281">
    <w:name w:val="font61"/>
    <w:next w:val="1281"/>
    <w:link w:val="1023"/>
    <w:rPr>
      <w:rFonts w:hint="eastAsia" w:ascii="宋体" w:hAnsi="宋体" w:eastAsia="宋体" w:cs="宋体"/>
      <w:i w:val="0"/>
      <w:iCs w:val="0"/>
      <w:color w:val="000000"/>
      <w:sz w:val="20"/>
      <w:szCs w:val="20"/>
      <w:u w:val="none"/>
    </w:rPr>
  </w:style>
  <w:style w:type="character" w:styleId="1282">
    <w:name w:val="font21"/>
    <w:next w:val="1282"/>
    <w:link w:val="1023"/>
    <w:rPr>
      <w:rFonts w:ascii="Times New Roman" w:hAnsi="Times New Roman" w:cs="Times New Roman"/>
      <w:i w:val="0"/>
      <w:iCs w:val="0"/>
      <w:color w:val="000000"/>
      <w:sz w:val="20"/>
      <w:szCs w:val="20"/>
      <w:u w:val="none"/>
    </w:rPr>
  </w:style>
  <w:style w:type="character" w:styleId="1283">
    <w:name w:val="font71"/>
    <w:next w:val="1283"/>
    <w:link w:val="1023"/>
    <w:rPr>
      <w:rFonts w:hint="eastAsia" w:ascii="宋体" w:hAnsi="宋体" w:eastAsia="宋体" w:cs="宋体"/>
      <w:i w:val="0"/>
      <w:iCs w:val="0"/>
      <w:color w:val="000000"/>
      <w:sz w:val="20"/>
      <w:szCs w:val="20"/>
      <w:u w:val="none"/>
    </w:rPr>
  </w:style>
  <w:style w:type="character" w:styleId="1284">
    <w:name w:val="font51"/>
    <w:next w:val="1284"/>
    <w:link w:val="1023"/>
    <w:rPr>
      <w:rFonts w:ascii="Times New Roman" w:hAnsi="Times New Roman" w:cs="Times New Roman"/>
      <w:i w:val="0"/>
      <w:iCs w:val="0"/>
      <w:color w:val="000000"/>
      <w:sz w:val="20"/>
      <w:szCs w:val="20"/>
      <w:u w:val="none"/>
    </w:rPr>
  </w:style>
  <w:style w:type="character" w:styleId="1285">
    <w:name w:val="font101"/>
    <w:next w:val="1285"/>
    <w:link w:val="1023"/>
    <w:rPr>
      <w:rFonts w:hint="eastAsia" w:ascii="宋体" w:hAnsi="宋体" w:eastAsia="宋体" w:cs="宋体"/>
      <w:i w:val="0"/>
      <w:iCs w:val="0"/>
      <w:color w:val="000000"/>
      <w:sz w:val="20"/>
      <w:szCs w:val="20"/>
      <w:u w:val="none"/>
    </w:rPr>
  </w:style>
  <w:style w:type="character" w:styleId="1286">
    <w:name w:val="font112"/>
    <w:next w:val="1286"/>
    <w:link w:val="1023"/>
    <w:rPr>
      <w:rFonts w:hint="eastAsia" w:ascii="宋体" w:hAnsi="宋体" w:eastAsia="宋体" w:cs="宋体"/>
      <w:i w:val="0"/>
      <w:iCs w:val="0"/>
      <w:color w:val="000000"/>
      <w:sz w:val="20"/>
      <w:szCs w:val="20"/>
      <w:u w:val="none"/>
    </w:rPr>
  </w:style>
  <w:style w:type="character" w:styleId="1287">
    <w:name w:val="标题 2 Char1"/>
    <w:next w:val="1287"/>
    <w:link w:val="1023"/>
    <w:qFormat/>
    <w:rPr>
      <w:rFonts w:ascii="Arial" w:hAnsi="Arial" w:eastAsia="黑体"/>
      <w:b/>
      <w:sz w:val="30"/>
      <w:lang w:val="en-US" w:eastAsia="zh-CN" w:bidi="ar-SA"/>
    </w:rPr>
  </w:style>
  <w:style w:type="paragraph" w:styleId="1288">
    <w:name w:val="标题 21"/>
    <w:basedOn w:val="1023"/>
    <w:next w:val="1289"/>
    <w:link w:val="1023"/>
    <w:qFormat/>
    <w:pPr>
      <w:jc w:val="center"/>
      <w:keepLines/>
      <w:keepNext/>
      <w:spacing w:before="120" w:line="300" w:lineRule="auto"/>
      <w:outlineLvl w:val="1"/>
    </w:pPr>
    <w:rPr>
      <w:rFonts w:ascii="Arial" w:hAnsi="Arial" w:eastAsia="黑体"/>
      <w:b/>
      <w:sz w:val="30"/>
      <w:szCs w:val="20"/>
    </w:rPr>
  </w:style>
  <w:style w:type="paragraph" w:styleId="1289">
    <w:name w:val="正文缩进11"/>
    <w:basedOn w:val="1023"/>
    <w:next w:val="1289"/>
    <w:link w:val="1023"/>
    <w:uiPriority w:val="99"/>
    <w:qFormat/>
    <w:pPr>
      <w:ind w:firstLine="420"/>
      <w:jc w:val="left"/>
    </w:pPr>
    <w:rPr>
      <w:rFonts w:ascii="宋体"/>
      <w:sz w:val="24"/>
    </w:rPr>
  </w:style>
  <w:style w:type="paragraph" w:styleId="1290">
    <w:name w:val="列出段落11"/>
    <w:basedOn w:val="1023"/>
    <w:next w:val="1290"/>
    <w:link w:val="1023"/>
    <w:qFormat/>
    <w:pPr>
      <w:ind w:firstLine="420"/>
    </w:pPr>
    <w:rPr>
      <w:rFonts w:ascii="Calibri" w:hAnsi="Calibri"/>
      <w:szCs w:val="22"/>
    </w:rPr>
  </w:style>
  <w:style w:type="paragraph" w:styleId="1291">
    <w:name w:val="正文首行缩进1"/>
    <w:basedOn w:val="1054"/>
    <w:next w:val="1291"/>
    <w:link w:val="1023"/>
    <w:qFormat/>
    <w:pPr>
      <w:ind w:firstLine="420"/>
      <w:spacing w:before="0" w:after="120" w:line="240" w:lineRule="auto"/>
      <w:tabs>
        <w:tab w:val="left" w:pos="567" w:leader="none"/>
      </w:tabs>
    </w:pPr>
    <w:rPr>
      <w:rFonts w:ascii="Times New Roman" w:hAnsi="Times New Roman"/>
      <w:sz w:val="21"/>
    </w:rPr>
  </w:style>
  <w:style w:type="character" w:styleId="1292">
    <w:name w:val="font11"/>
    <w:basedOn w:val="1033"/>
    <w:next w:val="1292"/>
    <w:link w:val="1023"/>
    <w:rPr>
      <w:rFonts w:hint="eastAsia" w:ascii="新宋体" w:hAnsi="新宋体" w:eastAsia="新宋体" w:cs="新宋体"/>
      <w:i w:val="0"/>
      <w:iCs w:val="0"/>
      <w:color w:val="000000"/>
      <w:sz w:val="18"/>
      <w:szCs w:val="18"/>
      <w:u w:val="none"/>
    </w:rPr>
  </w:style>
  <w:style w:type="character" w:styleId="1293">
    <w:name w:val="font41"/>
    <w:basedOn w:val="1033"/>
    <w:next w:val="1293"/>
    <w:link w:val="1023"/>
    <w:rPr>
      <w:rFonts w:hint="eastAsia" w:ascii="宋体" w:hAnsi="宋体" w:eastAsia="宋体" w:cs="宋体"/>
      <w:b/>
      <w:bCs/>
      <w:i w:val="0"/>
      <w:iCs w:val="0"/>
      <w:color w:val="000000"/>
      <w:sz w:val="20"/>
      <w:szCs w:val="20"/>
      <w:u w:val="none"/>
    </w:rPr>
  </w:style>
  <w:style w:type="paragraph" w:styleId="1294">
    <w:name w:val="☆ 正文"/>
    <w:basedOn w:val="1023"/>
    <w:next w:val="1294"/>
    <w:link w:val="1023"/>
    <w:qFormat/>
    <w:rPr>
      <w:szCs w:val="22"/>
    </w:rPr>
  </w:style>
  <w:style w:type="character" w:styleId="1295" w:default="1">
    <w:name w:val="Default Paragraph Font"/>
    <w:uiPriority w:val="1"/>
    <w:semiHidden/>
    <w:unhideWhenUsed/>
  </w:style>
  <w:style w:type="numbering" w:styleId="1296" w:default="1">
    <w:name w:val="No List"/>
    <w:uiPriority w:val="99"/>
    <w:semiHidden/>
    <w:unhideWhenUsed/>
  </w:style>
  <w:style w:type="table" w:styleId="1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周德娟</cp:lastModifiedBy>
  <cp:revision>5</cp:revision>
  <dcterms:created xsi:type="dcterms:W3CDTF">2022-05-30T08:08:00Z</dcterms:created>
  <dcterms:modified xsi:type="dcterms:W3CDTF">2026-01-06T05:47:02Z</dcterms:modified>
</cp:coreProperties>
</file>